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C4F8" w14:textId="77777777" w:rsidR="00612CAE" w:rsidRDefault="00637369" w:rsidP="00612CAE">
      <w:pPr>
        <w:pStyle w:val="TYTU"/>
        <w:jc w:val="center"/>
        <w:rPr>
          <w:bCs/>
        </w:rPr>
      </w:pPr>
      <w:r w:rsidRPr="00612CAE">
        <w:t xml:space="preserve">Załącznik nr </w:t>
      </w:r>
      <w:r w:rsidR="00612CAE" w:rsidRPr="00612CAE">
        <w:t>3</w:t>
      </w:r>
      <w:r w:rsidRPr="00612CAE">
        <w:t xml:space="preserve"> do Regulaminu </w:t>
      </w:r>
      <w:r w:rsidR="00612CAE" w:rsidRPr="00612CAE">
        <w:t>Programu</w:t>
      </w:r>
      <w:r w:rsidRPr="00612CAE">
        <w:br/>
      </w:r>
      <w:r w:rsidR="00612CAE" w:rsidRPr="00612CAE">
        <w:t xml:space="preserve">OGNISKA MUZYKI TRADYCYJNEJ </w:t>
      </w:r>
      <w:r w:rsidR="00CC7EE8" w:rsidRPr="00612CAE">
        <w:t xml:space="preserve"> </w:t>
      </w:r>
      <w:r w:rsidRPr="00612CAE">
        <w:t>202</w:t>
      </w:r>
      <w:r w:rsidR="00424841" w:rsidRPr="00612CAE">
        <w:t>3</w:t>
      </w:r>
      <w:r w:rsidR="00542D72" w:rsidRPr="00612CAE">
        <w:br/>
      </w:r>
      <w:r w:rsidRPr="00612CAE">
        <w:br/>
      </w:r>
      <w:r w:rsidRPr="00612CAE">
        <w:rPr>
          <w:bCs/>
        </w:rPr>
        <w:t>POMOC PUBLICZNA</w:t>
      </w:r>
    </w:p>
    <w:p w14:paraId="74345340" w14:textId="215AB8E8" w:rsidR="00637369" w:rsidRPr="00612CAE" w:rsidRDefault="00612CAE" w:rsidP="00612CAE">
      <w:pPr>
        <w:pStyle w:val="TYTU"/>
      </w:pPr>
      <w:r w:rsidRPr="00612CAE">
        <w:rPr>
          <w:rStyle w:val="Teksttreci2"/>
          <w:rFonts w:asciiTheme="minorHAnsi" w:hAnsiTheme="minorHAnsi" w:cstheme="minorHAnsi"/>
          <w:sz w:val="20"/>
          <w:szCs w:val="20"/>
        </w:rPr>
        <w:t>I</w:t>
      </w:r>
      <w:r w:rsidR="00E05E85" w:rsidRPr="00612CAE">
        <w:rPr>
          <w:rStyle w:val="Teksttreci2"/>
          <w:rFonts w:asciiTheme="minorHAnsi" w:hAnsiTheme="minorHAnsi" w:cstheme="minorHAnsi"/>
          <w:sz w:val="20"/>
          <w:szCs w:val="20"/>
        </w:rPr>
        <w:t>. INFORMACJE OGÓLNE</w:t>
      </w:r>
    </w:p>
    <w:p w14:paraId="166AB29E" w14:textId="2C5692B8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W przypadku wnioskodawców będących przedsiębiorstwami, w rozumieniu art. 1 załącznika I do rozporządzenia Komisji (UE) nr 651/2014 dofinansowanie w programie jest udzielane jako pomoc publiczna</w:t>
      </w:r>
      <w:r w:rsidRPr="00612CAE">
        <w:rPr>
          <w:rStyle w:val="Teksttreci"/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, na warunkach określonych w §7 rozporządzenia MKiDN z dnia 18 grudnia 2018 roku w sprawie zakresu zadań objętych mecenatem państwa, udzielania dotacji celowej na zadania nim objęte oraz udzielania dofinansowań podmiotom prowadzącym działalność w dziedzinie kultury 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br/>
        <w:t>i ochrony dziedzictwa narodowego.</w:t>
      </w:r>
    </w:p>
    <w:p w14:paraId="16530E53" w14:textId="09860CE3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Zgodnie z art. 1 załącznika I do rozporządzenia Komisji (UE) nr 651/2014 „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za</w:t>
      </w:r>
      <w:r w:rsidR="001E7C0C"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 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przedsiębiorstwo uważa się podmiot prowadzący działalność gospodarczą bez względu na jego formę prawną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. Zalicza się tu w szczególności osoby prowadzące działalność na własny rachunek oraz firmy rodzinne zajmujące się rzemiosłem lub inną działalnością, a także spółki lub stowarzyszenia prowadzące regularną działalność gospodarczą”. Z perspektywy przepisów o pomocy publicznej działalność gospodarcza rozumiana jest jako wszelka działalność polegająca na oferowaniu na rynku towarów lub usług. W tym zakresie nie znajduje zastosowanie definicja działalności gospodarczej zawarta w art. 3 ustawy z dnia 6 marca 2018 r. Prawo przedsiębiorców.</w:t>
      </w:r>
    </w:p>
    <w:p w14:paraId="0B593F1A" w14:textId="1D67EE5D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Określenie czy dany wnioskodawca występuje o dofinansowanie jako przedsiębiorstwo nie zależy od formy prawnej wnioskodawcy, ale od cech zadania będącego przedmiotem wniosku. Oznacza to zatem, że mogą wystąpić sytuacje, </w:t>
      </w:r>
      <w:r w:rsidR="00542D72" w:rsidRPr="00612CAE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w których przedsiębiorcy będą się ubiegać o wsparcie tylko działalności, która ma charakter niegospodarczy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Nie można też wykluczyć, iż w przypadku wnioskodawcy składającego dwa wnioski do różnych programów, w jednym z nich wnioskodawca będzie występował jako przedsiębiorstwo, a w przypadku drugiego programu - nie. 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Decydujące jest zatem </w:t>
      </w:r>
      <w:r w:rsidR="005F0020"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ustalenie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 czy dofinansowanie realizacji zadania przyznawane jest przedsiębiorcy w związku z prowadzoną przez niego działalnością gospodarczą.</w:t>
      </w:r>
    </w:p>
    <w:p w14:paraId="79D67DB7" w14:textId="42F08D36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Gdy zadanie ma charakter niegospodarczy, ale o wsparcie ubiega się wnioskodawca prowadzący działalność gospodarczą, aby dofinansowanie nie zostało uznane za</w:t>
      </w:r>
      <w:r w:rsidR="001E7C0C" w:rsidRPr="00612CAE">
        <w:rPr>
          <w:rStyle w:val="Teksttreci"/>
          <w:rFonts w:asciiTheme="minorHAnsi" w:hAnsiTheme="minorHAnsi" w:cstheme="minorHAnsi"/>
          <w:sz w:val="20"/>
          <w:szCs w:val="20"/>
        </w:rPr>
        <w:t> 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pomoc publiczną, wnioskodawca powinien zapewnić rachunkowe rozdzielenie obydwu działalności, tak aby uniknąć wykorzystywania wsparcia otrzymanego </w:t>
      </w:r>
      <w:proofErr w:type="spellStart"/>
      <w:r w:rsidRPr="00612CAE">
        <w:rPr>
          <w:rFonts w:eastAsia="Calibri"/>
        </w:rPr>
        <w:t>nadziałalność</w:t>
      </w:r>
      <w:proofErr w:type="spellEnd"/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 niegospodarczą do finansowania działalności gospodarczej.</w:t>
      </w:r>
      <w:r w:rsidRPr="00612CAE">
        <w:rPr>
          <w:rStyle w:val="Teksttreci"/>
          <w:rFonts w:asciiTheme="minorHAnsi" w:hAnsiTheme="minorHAnsi" w:cstheme="minorHAnsi"/>
          <w:sz w:val="20"/>
          <w:szCs w:val="20"/>
          <w:vertAlign w:val="superscript"/>
        </w:rPr>
        <w:footnoteReference w:id="2"/>
      </w:r>
    </w:p>
    <w:p w14:paraId="34A1DB4E" w14:textId="29D6651D" w:rsidR="00637369" w:rsidRPr="00612CAE" w:rsidRDefault="00612CAE" w:rsidP="00612CAE">
      <w:pPr>
        <w:pStyle w:val="PARAGRAF"/>
      </w:pPr>
      <w:r w:rsidRPr="00612CAE">
        <w:rPr>
          <w:rStyle w:val="Teksttreci2"/>
          <w:rFonts w:asciiTheme="minorHAnsi" w:hAnsiTheme="minorHAnsi" w:cstheme="minorHAnsi"/>
          <w:sz w:val="20"/>
          <w:szCs w:val="20"/>
        </w:rPr>
        <w:t>II</w:t>
      </w:r>
      <w:r w:rsidR="00E05E85" w:rsidRPr="00612CAE">
        <w:rPr>
          <w:rStyle w:val="Teksttreci2"/>
          <w:rFonts w:asciiTheme="minorHAnsi" w:hAnsiTheme="minorHAnsi" w:cstheme="minorHAnsi"/>
          <w:sz w:val="20"/>
          <w:szCs w:val="20"/>
        </w:rPr>
        <w:t xml:space="preserve">. TEST POMOCY </w:t>
      </w:r>
      <w:r w:rsidR="00E05E85" w:rsidRPr="00612CAE">
        <w:rPr>
          <w:rFonts w:eastAsia="Calibri"/>
        </w:rPr>
        <w:t>PUBLICZNEJ</w:t>
      </w:r>
    </w:p>
    <w:p w14:paraId="406702B2" w14:textId="4FFA5AD3" w:rsidR="00637369" w:rsidRPr="00612CAE" w:rsidRDefault="00637369" w:rsidP="00580732">
      <w:pPr>
        <w:pStyle w:val="Akapitpunktgowny"/>
        <w:numPr>
          <w:ilvl w:val="0"/>
          <w:numId w:val="17"/>
        </w:num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Narodowy Instytut Muzyki i Tańca dokonuje analizy zadania będącego przedmiotem wniosku (zwanej dalej „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testem pomocy publicznej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”) pod kątem zasadności udzielenia dofinasowania w reżimie lub poza reżimem pomocy publicznej. </w:t>
      </w:r>
      <w:r w:rsidR="00542D72" w:rsidRPr="00612CAE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W zależności od specyfiki i zakresu zadania test pomocy publicznej może być przeprowadzony w 1 lub w 2 etapach.</w:t>
      </w:r>
    </w:p>
    <w:p w14:paraId="4ADF4BD1" w14:textId="77777777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Na podstawie przeprowadzonego testu pomocy publicznej określony zostanie tryb ewentualnego udzielenia dofinansowania:</w:t>
      </w:r>
    </w:p>
    <w:p w14:paraId="5F4494BC" w14:textId="06DDB839" w:rsidR="00637369" w:rsidRPr="00612CAE" w:rsidRDefault="00637369" w:rsidP="00612CAE">
      <w:pPr>
        <w:pStyle w:val="Akapitpodpunkt"/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lastRenderedPageBreak/>
        <w:t xml:space="preserve">dofinansowanie będzie wyłączone z reżimu pomocy publicznej, gdyż zadanie posiada cechy, które pozwalają stwierdzić, że wnioskodawca nie realizuje zadania jako przedsiębiorstwo; </w:t>
      </w:r>
    </w:p>
    <w:p w14:paraId="650AE7BB" w14:textId="36F53839" w:rsidR="00637369" w:rsidRPr="00612CAE" w:rsidRDefault="00637369" w:rsidP="00612CAE">
      <w:pPr>
        <w:pStyle w:val="Akapitpodpunkt"/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dofinansowanie będzie włączone do reżimu pomocy publicznej, gdyż zadanie posiada cechy, które pozwalają stwierdzić, że wnioskodawca realizuje zadanie jako przedsiębiorstwo i spełnione są wszystkie warunki do uznania wsparcia za </w:t>
      </w:r>
      <w:r w:rsidR="001E7C0C" w:rsidRPr="00612CAE">
        <w:rPr>
          <w:rStyle w:val="Teksttreci"/>
          <w:rFonts w:asciiTheme="minorHAnsi" w:hAnsiTheme="minorHAnsi" w:cstheme="minorHAnsi"/>
          <w:sz w:val="20"/>
          <w:szCs w:val="20"/>
        </w:rPr>
        <w:t> 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pomoc publiczną.</w:t>
      </w:r>
    </w:p>
    <w:p w14:paraId="6E68DF4D" w14:textId="570D57E5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W I etapie testu pomocy publicznej 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wnioskodawca wypełnia obligatoryjnie zintegrowany </w:t>
      </w:r>
      <w:r w:rsidR="00CD0A8D" w:rsidRPr="00612CAE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z wnioskiem załącznik pn. </w:t>
      </w:r>
      <w:r w:rsidRPr="00612CAE">
        <w:rPr>
          <w:rStyle w:val="Teksttreci"/>
          <w:rFonts w:asciiTheme="minorHAnsi" w:hAnsiTheme="minorHAnsi" w:cstheme="minorHAnsi"/>
          <w:b/>
          <w:bCs/>
          <w:i/>
          <w:iCs/>
          <w:sz w:val="20"/>
          <w:szCs w:val="20"/>
        </w:rPr>
        <w:t>Informacja dotycząca pomocy publicznej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, którego celem jest określenie czy realizowane zadanie ma charakter gospodarczy.</w:t>
      </w:r>
    </w:p>
    <w:p w14:paraId="484B7C2B" w14:textId="77777777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Dla wyłączenia dofinasowania z reżimu pomocy publicznej w I etapie testu niezbędne jest stwierdzenie czy zadanie ma charakter czysto społeczny, edukacyjny lub kulturalny, a jego efekty będą otwarte dla ogółu społeczeństwa bezpłatnie w trakcie jego realizacji oraz po jego zakończeniu.</w:t>
      </w:r>
    </w:p>
    <w:p w14:paraId="12E74661" w14:textId="77777777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W przypadku stwierdzenia przez NIMiT braku możliwości jednoznacznego wykluczenia gospodarczego charakteru zadania w I etapie testu pomocy publicznej, beneficjent zobligowany jest do wypełnienia i przesłania wraz z aktualizacją wniosku dodatkowego załącznika pn. </w:t>
      </w:r>
      <w:r w:rsidRPr="00612CAE">
        <w:rPr>
          <w:rStyle w:val="Teksttreci"/>
          <w:rFonts w:asciiTheme="minorHAnsi" w:hAnsiTheme="minorHAnsi" w:cstheme="minorHAnsi"/>
          <w:b/>
          <w:bCs/>
          <w:i/>
          <w:iCs/>
          <w:sz w:val="20"/>
          <w:szCs w:val="20"/>
        </w:rPr>
        <w:t>Szczegółowa informacja dotycząca pomocy publicznej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, na podstawie którego instytucja zarządzająca przeprowadza 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II etap testu pomocy publicznej.</w:t>
      </w:r>
    </w:p>
    <w:p w14:paraId="4D83B906" w14:textId="77777777" w:rsidR="00637369" w:rsidRPr="00612CAE" w:rsidRDefault="00637369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Dla wyłączenia dofinasowania z reżimu pomocy publicznej w II etapie testu, poza dokonaniem ponownej analizy aspektów określających gospodarczy charakter zadania, niezbędne jest stwierdzenie czy dofinansowanie nie grozi zakłóceniem bądź nie zakłóca konkurencji i nie ma wpływu na wymianę handlową.</w:t>
      </w:r>
    </w:p>
    <w:p w14:paraId="7902A0FC" w14:textId="17899A5B" w:rsidR="00E05E85" w:rsidRPr="00612CAE" w:rsidRDefault="00637369" w:rsidP="00612CAE">
      <w:pPr>
        <w:pStyle w:val="Akapitpunktgowny"/>
      </w:pPr>
      <w:r w:rsidRPr="00612CAE">
        <w:rPr>
          <w:rFonts w:eastAsia="Calibri"/>
        </w:rPr>
        <w:t>Poniżej przedstawiono wszystkie elementy, które brane są pod uwagę w pełnym teście pomocy publicznej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:</w:t>
      </w:r>
    </w:p>
    <w:p w14:paraId="7B222DF6" w14:textId="77777777" w:rsidR="00E05E85" w:rsidRPr="00612CAE" w:rsidRDefault="00E05E85" w:rsidP="00612CAE">
      <w:pPr>
        <w:pStyle w:val="Teksttreci0"/>
        <w:tabs>
          <w:tab w:val="left" w:pos="754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7589"/>
      </w:tblGrid>
      <w:tr w:rsidR="00E05E85" w:rsidRPr="00612CAE" w14:paraId="57F2D78C" w14:textId="77777777" w:rsidTr="005853AB">
        <w:trPr>
          <w:trHeight w:hRule="exact" w:val="778"/>
          <w:jc w:val="center"/>
        </w:trPr>
        <w:tc>
          <w:tcPr>
            <w:tcW w:w="8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4E6DE80" w14:textId="77777777" w:rsidR="00E05E85" w:rsidRPr="00612CAE" w:rsidRDefault="00E05E85" w:rsidP="00612CAE">
            <w:pPr>
              <w:pStyle w:val="Inne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>Część 1. CHARAKTER GOSPODARCZY DZIAŁALNOŚCI WNIOSKODAWCY</w:t>
            </w:r>
          </w:p>
        </w:tc>
      </w:tr>
      <w:tr w:rsidR="00E05E85" w:rsidRPr="00612CAE" w14:paraId="700E54B5" w14:textId="77777777" w:rsidTr="00580732">
        <w:trPr>
          <w:trHeight w:hRule="exact" w:val="59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440A3A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1.1.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909EB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Czy wnioskodawca prowadzi działalność polegającą na oferowaniu na rynku towarów lub usług?</w:t>
            </w:r>
          </w:p>
        </w:tc>
      </w:tr>
      <w:tr w:rsidR="00E05E85" w:rsidRPr="00612CAE" w14:paraId="0E60966B" w14:textId="77777777" w:rsidTr="00580732">
        <w:trPr>
          <w:trHeight w:hRule="exact" w:val="58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D4A9DF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1.2.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85D59C" w14:textId="59FA56DE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 xml:space="preserve">Czy zadanie, którego dotyczy dofinansowanie wiąże się z oferowaniem </w:t>
            </w:r>
            <w:r w:rsidR="00542D72"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br/>
            </w: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na rynku towarów lub usług?</w:t>
            </w:r>
          </w:p>
        </w:tc>
      </w:tr>
      <w:tr w:rsidR="00E05E85" w:rsidRPr="00612CAE" w14:paraId="08424F60" w14:textId="77777777" w:rsidTr="00580732">
        <w:trPr>
          <w:trHeight w:hRule="exact" w:val="56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774B0F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1.3.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3D2A" w14:textId="527B29AB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 xml:space="preserve">Prognozowane przychody uzyskane z tytułu realizacji zadania i/lub </w:t>
            </w:r>
            <w:r w:rsidR="00542D72"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br/>
            </w: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z wykorzystaniem efektów realizacji zadania</w:t>
            </w:r>
          </w:p>
        </w:tc>
      </w:tr>
      <w:tr w:rsidR="00E05E85" w:rsidRPr="00612CAE" w14:paraId="0F289DB0" w14:textId="77777777" w:rsidTr="00580732">
        <w:trPr>
          <w:trHeight w:hRule="exact" w:val="84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EBC48D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1.4.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05BA5" w14:textId="73E36301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 xml:space="preserve">Czy zadanie ma charakter czysto społeczny, edukacyjny lub kulturalny, </w:t>
            </w:r>
            <w:r w:rsidR="00542D72"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br/>
            </w: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a jego efekty będą otwarte dla ogółu społeczeństwa bezpłatnie w trakcie jego realizacji oraz po jego zakończeniu?</w:t>
            </w:r>
          </w:p>
        </w:tc>
      </w:tr>
      <w:tr w:rsidR="00E05E85" w:rsidRPr="00612CAE" w14:paraId="0BB75BB9" w14:textId="77777777" w:rsidTr="00580732">
        <w:trPr>
          <w:trHeight w:hRule="exact" w:val="8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362D20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1.5.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DE357" w14:textId="755A0DD4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 xml:space="preserve">Czy w przypadku prowadzenia innej działalności gospodarczej, wnioskodawca zapewni rozdzielność finansowo-księgową </w:t>
            </w:r>
            <w:r w:rsidR="00542D72"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br/>
            </w: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z działalnością będącą przedmiotem dofinansowania?</w:t>
            </w:r>
          </w:p>
        </w:tc>
      </w:tr>
      <w:tr w:rsidR="00E05E85" w:rsidRPr="00612CAE" w14:paraId="6E4BC285" w14:textId="77777777" w:rsidTr="005853AB">
        <w:trPr>
          <w:trHeight w:hRule="exact" w:val="552"/>
          <w:jc w:val="center"/>
        </w:trPr>
        <w:tc>
          <w:tcPr>
            <w:tcW w:w="8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44676E4" w14:textId="694A3BAA" w:rsidR="00E05E85" w:rsidRPr="00612CAE" w:rsidRDefault="00E05E85" w:rsidP="00580732">
            <w:pPr>
              <w:pStyle w:val="Inne0"/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2. WPŁYW NA WYMIANĘ HANDLOWĄ/ ZAGROŻENIE </w:t>
            </w:r>
            <w:r w:rsidRPr="00612CAE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ZAKÓŁOCENIA KONKURENCJI</w:t>
            </w:r>
          </w:p>
        </w:tc>
      </w:tr>
      <w:tr w:rsidR="00E05E85" w:rsidRPr="00612CAE" w14:paraId="16CFB9E7" w14:textId="77777777" w:rsidTr="005853AB">
        <w:trPr>
          <w:trHeight w:hRule="exact" w:val="38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726345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511E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Odbiorcy zadania/efektów realizacji zadania</w:t>
            </w:r>
          </w:p>
        </w:tc>
      </w:tr>
      <w:tr w:rsidR="00E05E85" w:rsidRPr="00612CAE" w14:paraId="68654041" w14:textId="77777777" w:rsidTr="00580732">
        <w:trPr>
          <w:trHeight w:hRule="exact" w:val="48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B89C4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FC8B" w14:textId="1AD17095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 xml:space="preserve">Przewidywana liczba odbiorców zadania/efektów realizacji zadania </w:t>
            </w:r>
            <w:r w:rsidR="00542D72"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br/>
            </w: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w skali roku</w:t>
            </w:r>
          </w:p>
        </w:tc>
      </w:tr>
      <w:tr w:rsidR="00E05E85" w:rsidRPr="00612CAE" w14:paraId="2DECC43B" w14:textId="77777777" w:rsidTr="00580732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94F4D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3FF10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Język, w którym prezentowane jest zadanie/efekty realizacji zadania</w:t>
            </w:r>
          </w:p>
        </w:tc>
      </w:tr>
      <w:tr w:rsidR="00E05E85" w:rsidRPr="00612CAE" w14:paraId="357DEE9D" w14:textId="77777777" w:rsidTr="005853AB">
        <w:trPr>
          <w:trHeight w:hRule="exact" w:val="38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30E6D8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2.4.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DD63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Lokalizacja zadania</w:t>
            </w:r>
          </w:p>
        </w:tc>
      </w:tr>
      <w:tr w:rsidR="00E05E85" w:rsidRPr="00612CAE" w14:paraId="45436C0C" w14:textId="77777777" w:rsidTr="005853AB">
        <w:trPr>
          <w:trHeight w:hRule="exact" w:val="6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37DA19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2.5.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6BB7C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Dostępność komunikacyjna zadania i/lub efektów realizacji zadania</w:t>
            </w:r>
          </w:p>
        </w:tc>
      </w:tr>
      <w:tr w:rsidR="00E05E85" w:rsidRPr="00612CAE" w14:paraId="47479F5B" w14:textId="77777777" w:rsidTr="00580732">
        <w:trPr>
          <w:trHeight w:hRule="exact" w:val="2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94E6B2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0870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Oferta kulturalna w miejscu realizacji zadania/dostępu do efektów realizacji zadania</w:t>
            </w:r>
          </w:p>
        </w:tc>
      </w:tr>
      <w:tr w:rsidR="00E05E85" w:rsidRPr="00612CAE" w14:paraId="34F0809B" w14:textId="77777777" w:rsidTr="005853AB">
        <w:trPr>
          <w:trHeight w:hRule="exact" w:val="31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94AC4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2.7.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5F979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Promocja zadania/efektów realizacji zadania</w:t>
            </w:r>
          </w:p>
        </w:tc>
      </w:tr>
      <w:tr w:rsidR="00E05E85" w:rsidRPr="00612CAE" w14:paraId="7708EA5D" w14:textId="77777777" w:rsidTr="00580732">
        <w:trPr>
          <w:trHeight w:hRule="exact" w:val="25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82987F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2.8.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20FFF9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Unikatowość zadania/efektów realizacji zadania</w:t>
            </w:r>
          </w:p>
        </w:tc>
      </w:tr>
      <w:tr w:rsidR="00E05E85" w:rsidRPr="00612CAE" w14:paraId="3D537685" w14:textId="77777777" w:rsidTr="00580732">
        <w:trPr>
          <w:trHeight w:hRule="exact" w:val="28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13FC2E" w14:textId="77777777" w:rsidR="00E05E85" w:rsidRPr="00612CAE" w:rsidRDefault="00E05E85" w:rsidP="00612CAE">
            <w:pPr>
              <w:pStyle w:val="Inne0"/>
              <w:spacing w:after="120" w:line="276" w:lineRule="auto"/>
              <w:ind w:firstLine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2.9.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E3712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Renoma zadania/efektów realizacji zadania</w:t>
            </w:r>
          </w:p>
        </w:tc>
      </w:tr>
      <w:tr w:rsidR="00E05E85" w:rsidRPr="00612CAE" w14:paraId="05732AE0" w14:textId="77777777" w:rsidTr="00580732">
        <w:trPr>
          <w:trHeight w:hRule="exact" w:val="2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6A302" w14:textId="77777777" w:rsidR="00E05E85" w:rsidRPr="00612CAE" w:rsidRDefault="00E05E85" w:rsidP="00612CAE">
            <w:pPr>
              <w:pStyle w:val="Inne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2.10.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63A3" w14:textId="77777777" w:rsidR="00E05E85" w:rsidRPr="00612CAE" w:rsidRDefault="00E05E85" w:rsidP="00580732">
            <w:pPr>
              <w:pStyle w:val="Inne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12CAE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Renoma wnioskodawcy</w:t>
            </w:r>
          </w:p>
        </w:tc>
      </w:tr>
    </w:tbl>
    <w:p w14:paraId="6B722691" w14:textId="77777777" w:rsidR="00E05E85" w:rsidRPr="00612CAE" w:rsidRDefault="00E05E85" w:rsidP="00612CA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7B6B0A9" w14:textId="6FD8D3A0" w:rsidR="00E05E85" w:rsidRPr="00612CAE" w:rsidRDefault="00E05E85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Z uwagi na nie w pełni wymierny charakter przesłanki wpływu na wymianę handlową i groźbę zakłócenia konkurencji, w przypadku jeśli przeprowadzony test pomocy publicznej wskazuje na wątpliwości odnośnie wykluczenia wystąpienia tej przesłanki, decydujące znaczenie powinna mieć indywidualna ocena danego zadania, </w:t>
      </w:r>
      <w:r w:rsidR="00542D72" w:rsidRPr="00612CAE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a wyłączenie dofinansowania z reżimu pomocy publicznej może nastąpić jedynie po sporządzeniu dodatkowego uzasadnienia przez instytucję zarządzającą.</w:t>
      </w:r>
    </w:p>
    <w:p w14:paraId="06A40A48" w14:textId="6D5FEA40" w:rsidR="00E05E85" w:rsidRPr="00612CAE" w:rsidRDefault="00E05E85" w:rsidP="00612CAE">
      <w:pPr>
        <w:pStyle w:val="Akapitpunktgowny"/>
        <w:rPr>
          <w:rStyle w:val="Teksttreci"/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UWAGA! Przedstawienie przez wnioskodawcę/beneficjenta niesprawdzonych lub nieprawdziwych informacji w ramach testu pomocy publicznej może skutkować odrzuceniem wniosku, anulowaniem przyznanego dofinansowania lub obowiązkiem zwrotu dofinansowania wraz z odsetkami.</w:t>
      </w:r>
    </w:p>
    <w:p w14:paraId="7706DF77" w14:textId="01C66150" w:rsidR="00E05E85" w:rsidRPr="00612CAE" w:rsidRDefault="00580732" w:rsidP="00612CAE">
      <w:pPr>
        <w:pStyle w:val="PARAGRAF"/>
      </w:pPr>
      <w:r>
        <w:rPr>
          <w:rStyle w:val="Teksttreci2"/>
          <w:rFonts w:asciiTheme="minorHAnsi" w:hAnsiTheme="minorHAnsi" w:cstheme="minorHAnsi"/>
          <w:sz w:val="20"/>
          <w:szCs w:val="20"/>
        </w:rPr>
        <w:t>III</w:t>
      </w:r>
      <w:r w:rsidR="00E05E85" w:rsidRPr="00612CAE">
        <w:rPr>
          <w:rStyle w:val="Teksttreci2"/>
          <w:rFonts w:asciiTheme="minorHAnsi" w:hAnsiTheme="minorHAnsi" w:cstheme="minorHAnsi"/>
          <w:sz w:val="20"/>
          <w:szCs w:val="20"/>
        </w:rPr>
        <w:t>. DOFINANSOWANIE, KTÓRE NIE JEST POMOCĄ PUBLICZNĄ</w:t>
      </w:r>
    </w:p>
    <w:p w14:paraId="5DB7DA87" w14:textId="6C3B969C" w:rsidR="00E05E85" w:rsidRPr="00612CAE" w:rsidRDefault="00E05E85" w:rsidP="00580732">
      <w:pPr>
        <w:pStyle w:val="Akapitpunktgowny"/>
        <w:numPr>
          <w:ilvl w:val="0"/>
          <w:numId w:val="18"/>
        </w:num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Beneficjent, którego zadanie może być wyłączone z reżimu pomocy publicznej na podstawie I etapu testu pomocy publicznej, </w:t>
      </w:r>
      <w:r w:rsidRPr="00612CAE">
        <w:rPr>
          <w:rFonts w:eastAsia="Calibri"/>
        </w:rPr>
        <w:t>przy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 składaniu aktualizacji wniosku jest zobligowany do ponownego wypełnienia załącznika pn. Informacja dotycząca pomocy publicznej w celu potwierdzenia czy, w związku ze zmianami w zakresie zadania wprowadzonymi na etapie aktualizacji, nie zachodzą okoliczności uzasadniające przeprowadzenie II etapu testu pomocy publicznej.</w:t>
      </w:r>
    </w:p>
    <w:p w14:paraId="71476872" w14:textId="77777777" w:rsidR="00E05E85" w:rsidRPr="00612CAE" w:rsidRDefault="00E05E85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W przypadku zaistnienia na etapie aktualizacji wniosku okoliczności uzasadniających przeprowadzenie II etapu testu pomocy publicznej wykonane zostają czynności określone w pkt 9-12.</w:t>
      </w:r>
    </w:p>
    <w:p w14:paraId="54164FF9" w14:textId="5B7EE3D6" w:rsidR="00E05E85" w:rsidRPr="00612CAE" w:rsidRDefault="00E05E85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Po stwierdzeniu, że ewentualne dofinansowanie nie jest pomocą publiczną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, może być ono przyznane i udzielone na zasadach, w zakresie i limitach finansowych określonych w regulaminie programu.</w:t>
      </w:r>
    </w:p>
    <w:p w14:paraId="122ADE50" w14:textId="09F72C7B" w:rsidR="00E05E85" w:rsidRPr="00612CAE" w:rsidRDefault="00580732" w:rsidP="00612CAE">
      <w:pPr>
        <w:pStyle w:val="PARAGRAF"/>
      </w:pPr>
      <w:r>
        <w:rPr>
          <w:rStyle w:val="Teksttreci2"/>
          <w:rFonts w:asciiTheme="minorHAnsi" w:hAnsiTheme="minorHAnsi" w:cstheme="minorHAnsi"/>
          <w:sz w:val="20"/>
          <w:szCs w:val="20"/>
        </w:rPr>
        <w:t>IV</w:t>
      </w:r>
      <w:r w:rsidR="00E05E85" w:rsidRPr="00612CAE">
        <w:rPr>
          <w:rStyle w:val="Teksttreci2"/>
          <w:rFonts w:asciiTheme="minorHAnsi" w:hAnsiTheme="minorHAnsi" w:cstheme="minorHAnsi"/>
          <w:sz w:val="20"/>
          <w:szCs w:val="20"/>
        </w:rPr>
        <w:t>. DOFINANSOWANIE, KTÓRE JEST POMOCĄ PUBLICZNĄ</w:t>
      </w:r>
    </w:p>
    <w:p w14:paraId="119F5F28" w14:textId="77777777" w:rsidR="00E05E85" w:rsidRPr="00612CAE" w:rsidRDefault="00E05E85" w:rsidP="00580732">
      <w:pPr>
        <w:pStyle w:val="Akapitpunktgowny"/>
        <w:numPr>
          <w:ilvl w:val="0"/>
          <w:numId w:val="19"/>
        </w:num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Po wykonaniu czynności określonych w pkt 9-12 i pkt 14-15 oraz stwierdzeniu, że 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dofinansowanie będzie </w:t>
      </w:r>
      <w:r w:rsidRPr="00612CAE">
        <w:rPr>
          <w:rFonts w:eastAsia="Calibri"/>
        </w:rPr>
        <w:t>udzielone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 w reżimie pomocy publicznej, 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całość pomocy publicznej udzielonej na realizację zadania w programie nie może przekroczyć:</w:t>
      </w:r>
    </w:p>
    <w:p w14:paraId="2A124EEF" w14:textId="77777777" w:rsidR="00E05E85" w:rsidRPr="00612CAE" w:rsidRDefault="00E05E85" w:rsidP="00580732">
      <w:pPr>
        <w:pStyle w:val="Akapitpodpunkt"/>
        <w:numPr>
          <w:ilvl w:val="0"/>
          <w:numId w:val="12"/>
        </w:numPr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kwoty 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2 000 000 €; oraz</w:t>
      </w:r>
    </w:p>
    <w:p w14:paraId="1B6AF2A7" w14:textId="4962EF1A" w:rsidR="00E05E85" w:rsidRPr="00612CAE" w:rsidRDefault="00E05E85" w:rsidP="00612CAE">
      <w:pPr>
        <w:pStyle w:val="Akapitpodpunkt"/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80% kosztów kwalifikowalnych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3"/>
      </w:r>
      <w:r w:rsidR="00CC7EE8"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  <w:vertAlign w:val="superscript"/>
        </w:rPr>
        <w:t xml:space="preserve"> 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4"/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przy czym pomoc wypłacana </w:t>
      </w:r>
      <w:r w:rsidR="00542D72" w:rsidRPr="00612CAE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w przyszłości, w tym pomoc wypłacana w kilku ratach, jest dyskontowana do wartości w momencie jej przyznania. Wartość kosztów kwalifikowalnych jest dyskontowana do ich wartości w chwili przyznania pomocy. Stopą procentową stosowaną do dyskontowania jest stopa dyskontowa obowiązująca w momencie przyznania pomocy</w:t>
      </w:r>
      <w:r w:rsidRPr="00612CAE">
        <w:rPr>
          <w:rStyle w:val="Teksttreci"/>
          <w:rFonts w:asciiTheme="minorHAnsi" w:hAnsiTheme="minorHAnsi" w:cstheme="minorHAnsi"/>
          <w:sz w:val="20"/>
          <w:szCs w:val="20"/>
          <w:vertAlign w:val="superscript"/>
        </w:rPr>
        <w:footnoteReference w:id="5"/>
      </w:r>
      <w:r w:rsidRPr="00612CAE">
        <w:rPr>
          <w:rStyle w:val="Teksttreci"/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612CAE">
        <w:rPr>
          <w:rStyle w:val="Teksttreci"/>
          <w:rFonts w:asciiTheme="minorHAnsi" w:hAnsiTheme="minorHAnsi" w:cstheme="minorHAnsi"/>
          <w:sz w:val="20"/>
          <w:szCs w:val="20"/>
          <w:vertAlign w:val="superscript"/>
        </w:rPr>
        <w:footnoteReference w:id="6"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.</w:t>
      </w:r>
    </w:p>
    <w:p w14:paraId="70EBC39C" w14:textId="77777777" w:rsidR="00E05E85" w:rsidRPr="00612CAE" w:rsidRDefault="00E05E85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Do pomocy publicznej wlicza się 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wszystkie źródła finansowania zadania pochodzące ze środków publicznych:</w:t>
      </w:r>
    </w:p>
    <w:p w14:paraId="1FBC3ACC" w14:textId="77777777" w:rsidR="00E05E85" w:rsidRPr="00612CAE" w:rsidRDefault="00E05E85" w:rsidP="00580732">
      <w:pPr>
        <w:pStyle w:val="Akapitpodpunkt"/>
        <w:numPr>
          <w:ilvl w:val="0"/>
          <w:numId w:val="13"/>
        </w:numPr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dofinansowanie ze środków </w:t>
      </w:r>
      <w:proofErr w:type="spellStart"/>
      <w:r w:rsidRPr="00612CAE">
        <w:rPr>
          <w:rStyle w:val="Teksttreci"/>
          <w:rFonts w:asciiTheme="minorHAnsi" w:hAnsiTheme="minorHAnsi" w:cstheme="minorHAnsi"/>
          <w:sz w:val="20"/>
          <w:szCs w:val="20"/>
        </w:rPr>
        <w:t>NcK</w:t>
      </w:r>
      <w:proofErr w:type="spellEnd"/>
      <w:r w:rsidRPr="00612CAE">
        <w:rPr>
          <w:rStyle w:val="Teksttreci"/>
          <w:rFonts w:asciiTheme="minorHAnsi" w:hAnsiTheme="minorHAnsi" w:cstheme="minorHAnsi"/>
          <w:sz w:val="20"/>
          <w:szCs w:val="20"/>
        </w:rPr>
        <w:t>;</w:t>
      </w:r>
    </w:p>
    <w:p w14:paraId="13287928" w14:textId="77777777" w:rsidR="00E05E85" w:rsidRPr="00612CAE" w:rsidRDefault="00E05E85" w:rsidP="00612CAE">
      <w:pPr>
        <w:pStyle w:val="Akapitpodpunkt"/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lastRenderedPageBreak/>
        <w:t>dotacje celowe z budżetu jednostek samorządu terytorialnego;</w:t>
      </w:r>
    </w:p>
    <w:p w14:paraId="12BCAD3B" w14:textId="77777777" w:rsidR="00E05E85" w:rsidRPr="00612CAE" w:rsidRDefault="00E05E85" w:rsidP="00612CAE">
      <w:pPr>
        <w:pStyle w:val="Akapitpodpunkt"/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inne środki publiczne;</w:t>
      </w:r>
    </w:p>
    <w:p w14:paraId="6B4E5EA9" w14:textId="77777777" w:rsidR="00E05E85" w:rsidRPr="00612CAE" w:rsidRDefault="00E05E85" w:rsidP="00612CAE">
      <w:pPr>
        <w:pStyle w:val="Akapitpodpunkt"/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finansowe środki własne, w przypadku jeśli wnioskodawca jest podmiotem z sektora finansów publicznych.</w:t>
      </w:r>
    </w:p>
    <w:p w14:paraId="38927C5F" w14:textId="77777777" w:rsidR="00E05E85" w:rsidRPr="00612CAE" w:rsidRDefault="00E05E85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W przypadku niespełnienia wymogów, o których mowa w pkt 17-18 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dofinansowanie dla wniosku złożonego przez przedsiębiorstwo może być:</w:t>
      </w:r>
    </w:p>
    <w:p w14:paraId="66BA0F77" w14:textId="77777777" w:rsidR="00E05E85" w:rsidRPr="00612CAE" w:rsidRDefault="00E05E85" w:rsidP="00580732">
      <w:pPr>
        <w:pStyle w:val="Akapitpodpunkt"/>
        <w:numPr>
          <w:ilvl w:val="0"/>
          <w:numId w:val="14"/>
        </w:numPr>
        <w:spacing w:line="276" w:lineRule="auto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udzielone w kwocie niższej od przyznanej, 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ale zgodnej z limitami określonymi w pkt 17;</w:t>
      </w:r>
    </w:p>
    <w:p w14:paraId="0AF048F6" w14:textId="684EF05A" w:rsidR="00E05E85" w:rsidRPr="00612CAE" w:rsidRDefault="00E05E85" w:rsidP="00612CAE">
      <w:pPr>
        <w:pStyle w:val="Akapitpodpunkt"/>
        <w:spacing w:line="276" w:lineRule="auto"/>
        <w:jc w:val="left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udzielone jako pomoc de minimis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7"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, na warunkach określonych w §7 ust.1-2, ust 4 i ust. 14 rozporządzenia w sprawie zakresu zadań objętych mecenatem państwa, udzielania dotacji celowej na zadania nim objęte oraz udzielania dofinansowań podmiotom prowadzącym działalność w dziedzinie kultury </w:t>
      </w:r>
      <w:r w:rsidR="00542D72" w:rsidRPr="00612CAE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i ochrony dziedzictwa </w:t>
      </w:r>
      <w:r w:rsidR="005F0020" w:rsidRPr="00612CAE">
        <w:rPr>
          <w:rStyle w:val="Teksttreci"/>
          <w:rFonts w:asciiTheme="minorHAnsi" w:hAnsiTheme="minorHAnsi" w:cstheme="minorHAnsi"/>
          <w:sz w:val="20"/>
          <w:szCs w:val="20"/>
        </w:rPr>
        <w:t>narodowego,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 przy czym pułap pomocy de minimis, którą jedno przedsiębiorstwo może otrzymywać przez okres trzech lat </w:t>
      </w: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nie może przekroczyć kwoty 200 000 €;</w:t>
      </w:r>
    </w:p>
    <w:p w14:paraId="3F2BBB17" w14:textId="10E9CB25" w:rsidR="00E05E85" w:rsidRPr="00612CAE" w:rsidRDefault="00E05E85" w:rsidP="00612CAE">
      <w:pPr>
        <w:pStyle w:val="Akapitpodpunkt"/>
        <w:spacing w:line="276" w:lineRule="auto"/>
        <w:jc w:val="left"/>
        <w:rPr>
          <w:rFonts w:cstheme="minorHAnsi"/>
          <w:sz w:val="20"/>
          <w:szCs w:val="20"/>
        </w:rPr>
      </w:pPr>
      <w:r w:rsidRPr="00612CAE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anulowane </w:t>
      </w:r>
      <w:r w:rsidR="005F0020" w:rsidRPr="00612CAE">
        <w:rPr>
          <w:rStyle w:val="Teksttreci"/>
          <w:rFonts w:asciiTheme="minorHAnsi" w:hAnsiTheme="minorHAnsi" w:cstheme="minorHAnsi"/>
          <w:sz w:val="20"/>
          <w:szCs w:val="20"/>
        </w:rPr>
        <w:t>–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 w </w:t>
      </w:r>
      <w:r w:rsidR="005F0020" w:rsidRPr="00612CAE">
        <w:rPr>
          <w:rStyle w:val="Teksttreci"/>
          <w:rFonts w:asciiTheme="minorHAnsi" w:hAnsiTheme="minorHAnsi" w:cstheme="minorHAnsi"/>
          <w:sz w:val="20"/>
          <w:szCs w:val="20"/>
        </w:rPr>
        <w:t>przypadku,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 gdy nie ma możliwości udzielenia dofinansowania.</w:t>
      </w:r>
    </w:p>
    <w:p w14:paraId="3E4816A9" w14:textId="37678ABB" w:rsidR="00637369" w:rsidRPr="00612CAE" w:rsidRDefault="00E05E85" w:rsidP="00612CAE">
      <w:pPr>
        <w:pStyle w:val="Akapitpunktgowny"/>
      </w:pP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W przypadku </w:t>
      </w:r>
      <w:r w:rsidRPr="00612CAE">
        <w:rPr>
          <w:rFonts w:eastAsia="Calibri"/>
        </w:rPr>
        <w:t>udzielenia</w:t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 xml:space="preserve"> dofinansowania jako pomocy publicznej dodatkowe wymogi dotyczące rozliczenia pomocy, w szczególności zgodności realizacji projektu </w:t>
      </w:r>
      <w:r w:rsidR="00542D72" w:rsidRPr="00612CAE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612CAE">
        <w:rPr>
          <w:rStyle w:val="Teksttreci"/>
          <w:rFonts w:asciiTheme="minorHAnsi" w:hAnsiTheme="minorHAnsi" w:cstheme="minorHAnsi"/>
          <w:sz w:val="20"/>
          <w:szCs w:val="20"/>
        </w:rPr>
        <w:t>z przepisami o pomocy publicznej w całym okresie, w którym będzie rozliczana udzielona pomoc publiczna, będą zawarte w umowie o dofinansowanie zadania.</w:t>
      </w:r>
    </w:p>
    <w:p w14:paraId="791E91B9" w14:textId="77777777" w:rsidR="00580732" w:rsidRDefault="00580732" w:rsidP="00612CAE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9C1860D" w14:textId="77777777" w:rsidR="00580732" w:rsidRDefault="00580732" w:rsidP="00612CAE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B9CB2F2" w14:textId="24C94DFC" w:rsidR="00C76673" w:rsidRDefault="00612CAE" w:rsidP="00612CAE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12CAE">
        <w:rPr>
          <w:rFonts w:asciiTheme="minorHAnsi" w:hAnsiTheme="minorHAnsi" w:cstheme="minorHAnsi"/>
          <w:b/>
          <w:bCs/>
          <w:sz w:val="20"/>
          <w:szCs w:val="20"/>
        </w:rPr>
        <w:t>WYKAZ ZAŁĄCZNIKÓW DOTYCZĄCYCH POMOCY PUBLICZNEJ</w:t>
      </w:r>
    </w:p>
    <w:p w14:paraId="5A72868E" w14:textId="77777777" w:rsidR="00580732" w:rsidRDefault="00580732" w:rsidP="00612CAE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419C510" w14:textId="77777777" w:rsidR="00580732" w:rsidRPr="00612CAE" w:rsidRDefault="00580732" w:rsidP="00612CAE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5"/>
        <w:gridCol w:w="5400"/>
      </w:tblGrid>
      <w:tr w:rsidR="00612CAE" w:rsidRPr="00612CAE" w14:paraId="26D768DD" w14:textId="77777777" w:rsidTr="00580732">
        <w:trPr>
          <w:trHeight w:hRule="exact" w:val="430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71DAF79A" w14:textId="77777777" w:rsidR="00612CAE" w:rsidRPr="00612CAE" w:rsidRDefault="00612CAE" w:rsidP="00E905E1">
            <w:pPr>
              <w:widowControl w:val="0"/>
              <w:spacing w:after="120" w:line="276" w:lineRule="auto"/>
              <w:jc w:val="center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b/>
                <w:bCs/>
                <w:color w:val="000000"/>
                <w:sz w:val="20"/>
                <w:szCs w:val="20"/>
                <w:lang w:bidi="pl-PL"/>
              </w:rPr>
              <w:t>Załącznik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859C494" w14:textId="77777777" w:rsidR="00612CAE" w:rsidRPr="00612CAE" w:rsidRDefault="00612CAE" w:rsidP="00E905E1">
            <w:pPr>
              <w:widowControl w:val="0"/>
              <w:spacing w:after="120" w:line="276" w:lineRule="auto"/>
              <w:jc w:val="center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b/>
                <w:bCs/>
                <w:color w:val="000000"/>
                <w:sz w:val="20"/>
                <w:szCs w:val="20"/>
                <w:lang w:bidi="pl-PL"/>
              </w:rPr>
              <w:t>Komentarz</w:t>
            </w:r>
          </w:p>
        </w:tc>
      </w:tr>
      <w:tr w:rsidR="00612CAE" w:rsidRPr="00612CAE" w14:paraId="5EAFC851" w14:textId="77777777" w:rsidTr="00580732">
        <w:trPr>
          <w:trHeight w:hRule="exact" w:val="2123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30DEACF2" w14:textId="77777777" w:rsidR="00612CAE" w:rsidRPr="00612CAE" w:rsidRDefault="00612CAE" w:rsidP="00E905E1">
            <w:pPr>
              <w:widowControl w:val="0"/>
              <w:spacing w:after="120" w:line="276" w:lineRule="auto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t xml:space="preserve">Szczegółowa informacja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>dotycząca pomocy publicznej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7E67" w14:textId="77777777" w:rsidR="00612CAE" w:rsidRPr="00612CAE" w:rsidRDefault="00612CAE" w:rsidP="00580732">
            <w:pPr>
              <w:widowControl w:val="0"/>
              <w:spacing w:after="120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t xml:space="preserve">O konieczności przesłania załącznika decyduje NIMiT –w zależności od wyniku I etapu testu pomocy publicznej. </w:t>
            </w:r>
            <w:r w:rsidRPr="00612CAE">
              <w:rPr>
                <w:rFonts w:asciiTheme="minorHAnsi" w:eastAsia="Microsoft Sans Serif" w:hAnsiTheme="minorHAnsi" w:cstheme="minorHAnsi"/>
                <w:b/>
                <w:bCs/>
                <w:color w:val="000000"/>
                <w:sz w:val="20"/>
                <w:szCs w:val="20"/>
                <w:lang w:bidi="pl-PL"/>
              </w:rPr>
              <w:t>UWAGA!</w:t>
            </w:r>
          </w:p>
          <w:p w14:paraId="5A0721FD" w14:textId="77777777" w:rsidR="00612CAE" w:rsidRPr="00612CAE" w:rsidRDefault="00612CAE" w:rsidP="00580732">
            <w:pPr>
              <w:widowControl w:val="0"/>
              <w:spacing w:after="120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t xml:space="preserve">W przypadku konieczności przedstawienia szczegółowych informacji na potrzeby sporządzenia testu pomocy publicznej instytucja zarządzająca może wystąpić do beneficjenta o przedstawienie informacji w osobnym piśmie. Formularz załącznika będzie dostępny na stronie internetowej NIMiT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>w zakładce programu.</w:t>
            </w:r>
          </w:p>
        </w:tc>
      </w:tr>
      <w:tr w:rsidR="00612CAE" w:rsidRPr="00612CAE" w14:paraId="298DA3D5" w14:textId="77777777" w:rsidTr="00E905E1">
        <w:trPr>
          <w:trHeight w:hRule="exact" w:val="1683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18A4AA5D" w14:textId="77777777" w:rsidR="00612CAE" w:rsidRPr="00612CAE" w:rsidRDefault="00612CAE" w:rsidP="00E905E1">
            <w:pPr>
              <w:widowControl w:val="0"/>
              <w:spacing w:after="120" w:line="276" w:lineRule="auto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t xml:space="preserve">Formularz informacji przedstawianych przy ubieganiu się o pomoc inną niż pomoc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 xml:space="preserve">w rolnictwie lub rybołówstwie, pomoc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 xml:space="preserve">de minimis lub pomoc de minimis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>w rolnictwie lub rybołówstwie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6A96" w14:textId="77777777" w:rsidR="00612CAE" w:rsidRPr="00612CAE" w:rsidRDefault="00612CAE" w:rsidP="00580732">
            <w:pPr>
              <w:widowControl w:val="0"/>
              <w:spacing w:after="120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t xml:space="preserve">Należy dostarczyć wyłącznie w przypadku jeśli beneficjent występuje jako przedsiębiorstwo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>w rozumieniu art. 1 załącznika I do rozporządzenia Komisji (UE) nr 651/2014 i otrzymuje dofinansowanie jako pomoc publiczną; formularz załącznika będzie dostępny na stronie internetowej NIMiT w zakładce programu.</w:t>
            </w:r>
          </w:p>
        </w:tc>
      </w:tr>
      <w:tr w:rsidR="00612CAE" w:rsidRPr="00612CAE" w14:paraId="6CB091C3" w14:textId="77777777" w:rsidTr="00580732">
        <w:trPr>
          <w:trHeight w:hRule="exact" w:val="1564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14:paraId="39D2E3B8" w14:textId="77777777" w:rsidR="00612CAE" w:rsidRPr="00612CAE" w:rsidRDefault="00612CAE" w:rsidP="00E905E1">
            <w:pPr>
              <w:widowControl w:val="0"/>
              <w:spacing w:after="120" w:line="276" w:lineRule="auto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t xml:space="preserve">Formularz informacji przedstawianych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>przy ubieganiu się o pomoc de minimis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6DAB0" w14:textId="77777777" w:rsidR="00612CAE" w:rsidRPr="00612CAE" w:rsidRDefault="00612CAE" w:rsidP="00580732">
            <w:pPr>
              <w:widowControl w:val="0"/>
              <w:spacing w:after="120"/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</w:pP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t xml:space="preserve">Należy dostarczyć wyłącznie w przypadku jeśli beneficjent występuje jako przedsiębiorstwo </w:t>
            </w:r>
            <w:r w:rsidRPr="00612CAE">
              <w:rPr>
                <w:rFonts w:asciiTheme="minorHAnsi" w:eastAsia="Microsoft Sans Serif" w:hAnsiTheme="minorHAnsi" w:cstheme="minorHAnsi"/>
                <w:color w:val="000000"/>
                <w:sz w:val="20"/>
                <w:szCs w:val="20"/>
                <w:lang w:bidi="pl-PL"/>
              </w:rPr>
              <w:br/>
              <w:t>w rozumieniu art. 1 załącznika I do rozporządzenia Komisji (UE) nr 651/2014 i otrzymuje dofinansowanie jako pomoc de minimis; formularz załącznika będzie dostępny na stronie internetowej NIMiT w zakładce programu.</w:t>
            </w:r>
          </w:p>
        </w:tc>
      </w:tr>
    </w:tbl>
    <w:p w14:paraId="27CDB2D3" w14:textId="67326ED3" w:rsidR="00252E11" w:rsidRPr="00612CAE" w:rsidRDefault="00580732" w:rsidP="00580732">
      <w:pPr>
        <w:pStyle w:val="PARAGRAF"/>
        <w:rPr>
          <w:sz w:val="20"/>
          <w:szCs w:val="20"/>
        </w:rPr>
      </w:pPr>
      <w:r w:rsidRPr="00612CAE">
        <w:rPr>
          <w:sz w:val="20"/>
          <w:szCs w:val="20"/>
        </w:rPr>
        <w:t xml:space="preserve"> </w:t>
      </w:r>
    </w:p>
    <w:sectPr w:rsidR="00252E11" w:rsidRPr="00612CAE" w:rsidSect="00612CA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85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D594" w14:textId="77777777" w:rsidR="00076B9D" w:rsidRDefault="00076B9D">
      <w:r>
        <w:separator/>
      </w:r>
    </w:p>
  </w:endnote>
  <w:endnote w:type="continuationSeparator" w:id="0">
    <w:p w14:paraId="0267A689" w14:textId="77777777" w:rsidR="00076B9D" w:rsidRDefault="0007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altName w:val="Times New Roman"/>
    <w:charset w:val="00"/>
    <w:family w:val="auto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altName w:val="﷽﷽﷽﷽﷽﷽﷽﷽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489C" w14:textId="77777777" w:rsidR="00882245" w:rsidRDefault="00882245">
    <w:pPr>
      <w:pStyle w:val="Stopka"/>
      <w:framePr w:wrap="around" w:vAnchor="text" w:hAnchor="margin" w:xAlign="center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7</w:t>
    </w:r>
    <w:r>
      <w:rPr>
        <w:rStyle w:val="Numerstrony"/>
        <w:sz w:val="20"/>
        <w:szCs w:val="20"/>
      </w:rPr>
      <w:fldChar w:fldCharType="end"/>
    </w:r>
  </w:p>
  <w:p w14:paraId="46DA539A" w14:textId="77777777" w:rsidR="00882245" w:rsidRDefault="00882245">
    <w:pPr>
      <w:pStyle w:val="Stopka"/>
      <w:rPr>
        <w:sz w:val="20"/>
        <w:szCs w:val="20"/>
      </w:rPr>
    </w:pPr>
  </w:p>
  <w:p w14:paraId="0E61C557" w14:textId="77777777" w:rsidR="005F55EF" w:rsidRDefault="005F55EF"/>
  <w:p w14:paraId="4A4BF7CA" w14:textId="77777777" w:rsidR="005F55EF" w:rsidRDefault="005F55EF"/>
  <w:p w14:paraId="71035C0E" w14:textId="77777777" w:rsidR="005F55EF" w:rsidRDefault="005F55EF"/>
  <w:p w14:paraId="687827C3" w14:textId="77777777" w:rsidR="005F55EF" w:rsidRDefault="005F55EF"/>
  <w:p w14:paraId="64BC9782" w14:textId="77777777" w:rsidR="005F55EF" w:rsidRDefault="005F55EF"/>
  <w:p w14:paraId="16FE943D" w14:textId="77777777" w:rsidR="005F55EF" w:rsidRDefault="005F55EF"/>
  <w:p w14:paraId="3886593E" w14:textId="77777777" w:rsidR="005F55EF" w:rsidRDefault="005F55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4C7E" w14:textId="3A688E9C" w:rsidR="00882245" w:rsidRPr="00393181" w:rsidRDefault="009266C2" w:rsidP="00393181">
    <w:pPr>
      <w:pStyle w:val="Stopka"/>
      <w:spacing w:line="276" w:lineRule="auto"/>
      <w:jc w:val="right"/>
      <w:rPr>
        <w:rFonts w:asciiTheme="minorHAnsi" w:hAnsiTheme="minorHAnsi" w:cstheme="minorHAnsi"/>
      </w:rPr>
    </w:pPr>
    <w:sdt>
      <w:sdtPr>
        <w:id w:val="6709963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882245" w:rsidRPr="00393181">
          <w:rPr>
            <w:rFonts w:asciiTheme="minorHAnsi" w:hAnsiTheme="minorHAnsi" w:cstheme="minorHAnsi"/>
          </w:rPr>
          <w:fldChar w:fldCharType="begin"/>
        </w:r>
        <w:r w:rsidR="00882245" w:rsidRPr="00393181">
          <w:rPr>
            <w:rFonts w:asciiTheme="minorHAnsi" w:hAnsiTheme="minorHAnsi" w:cstheme="minorHAnsi"/>
          </w:rPr>
          <w:instrText xml:space="preserve"> PAGE   \* MERGEFORMAT </w:instrText>
        </w:r>
        <w:r w:rsidR="00882245" w:rsidRPr="00393181">
          <w:rPr>
            <w:rFonts w:asciiTheme="minorHAnsi" w:hAnsiTheme="minorHAnsi" w:cstheme="minorHAnsi"/>
          </w:rPr>
          <w:fldChar w:fldCharType="separate"/>
        </w:r>
        <w:r w:rsidR="00D74BBE" w:rsidRPr="00393181">
          <w:rPr>
            <w:rFonts w:asciiTheme="minorHAnsi" w:hAnsiTheme="minorHAnsi" w:cstheme="minorHAnsi"/>
            <w:noProof/>
          </w:rPr>
          <w:t>1</w:t>
        </w:r>
        <w:r w:rsidR="00882245" w:rsidRPr="00393181">
          <w:rPr>
            <w:rFonts w:asciiTheme="minorHAnsi" w:hAnsiTheme="minorHAnsi" w:cstheme="minorHAnsi"/>
            <w:noProof/>
          </w:rPr>
          <w:fldChar w:fldCharType="end"/>
        </w:r>
      </w:sdtContent>
    </w:sdt>
  </w:p>
  <w:p w14:paraId="527F64D0" w14:textId="44E72C57" w:rsidR="00393181" w:rsidRDefault="00393181" w:rsidP="00AB434A">
    <w:pPr>
      <w:tabs>
        <w:tab w:val="center" w:pos="4536"/>
        <w:tab w:val="right" w:pos="9072"/>
      </w:tabs>
      <w:jc w:val="center"/>
      <w:rPr>
        <w:rFonts w:ascii="Cambria" w:hAnsi="Cambria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9FCB9" w14:textId="77777777" w:rsidR="00076B9D" w:rsidRDefault="00076B9D">
      <w:r>
        <w:separator/>
      </w:r>
    </w:p>
  </w:footnote>
  <w:footnote w:type="continuationSeparator" w:id="0">
    <w:p w14:paraId="3BC9763E" w14:textId="77777777" w:rsidR="00076B9D" w:rsidRDefault="00076B9D">
      <w:r>
        <w:continuationSeparator/>
      </w:r>
    </w:p>
  </w:footnote>
  <w:footnote w:id="1">
    <w:p w14:paraId="1F50B2AD" w14:textId="77777777" w:rsidR="00637369" w:rsidRDefault="00637369" w:rsidP="00637369">
      <w:pPr>
        <w:pStyle w:val="Stopka1"/>
      </w:pPr>
      <w:r>
        <w:rPr>
          <w:rStyle w:val="Stopka0"/>
          <w:vertAlign w:val="superscript"/>
        </w:rPr>
        <w:footnoteRef/>
      </w:r>
      <w:r>
        <w:rPr>
          <w:rStyle w:val="Stopka0"/>
        </w:rPr>
        <w:t xml:space="preserve"> Zgodnie z art. 53 rozporządzenia Komisji (UE) nr 651/2014 z dnia 17 czerwca 2014 r. uznającego niektóre rodzaje pomocy za zgodne z rynkiem wewnętrznym w zastosowaniu art. 107 i 108 Traktatu.</w:t>
      </w:r>
    </w:p>
  </w:footnote>
  <w:footnote w:id="2">
    <w:p w14:paraId="75E35FE6" w14:textId="77777777" w:rsidR="00637369" w:rsidRDefault="00637369" w:rsidP="00637369">
      <w:pPr>
        <w:pStyle w:val="Stopka1"/>
      </w:pPr>
      <w:r>
        <w:rPr>
          <w:rStyle w:val="Stopka0"/>
          <w:vertAlign w:val="superscript"/>
        </w:rPr>
        <w:footnoteRef/>
      </w:r>
      <w:r>
        <w:rPr>
          <w:rStyle w:val="Stopka0"/>
        </w:rPr>
        <w:t xml:space="preserve"> Obowiązek prowadzenia wyodrębnionej ewidencji księgowej środków finansowych Ministra oraz wydatków dokonywanych z tych środków dotyczy wszystkich beneficjentów - patrz § 11 ust. 22 Regulaminu.</w:t>
      </w:r>
    </w:p>
  </w:footnote>
  <w:footnote w:id="3">
    <w:p w14:paraId="44088F30" w14:textId="77777777" w:rsidR="00E05E85" w:rsidRDefault="00E05E85" w:rsidP="00E05E85">
      <w:pPr>
        <w:pStyle w:val="Stopka1"/>
        <w:jc w:val="both"/>
      </w:pPr>
      <w:r>
        <w:rPr>
          <w:rStyle w:val="Stopka0"/>
          <w:vertAlign w:val="superscript"/>
        </w:rPr>
        <w:footnoteRef/>
      </w:r>
      <w:r>
        <w:rPr>
          <w:rStyle w:val="Stopka0"/>
        </w:rPr>
        <w:t xml:space="preserve"> Zgodnie z art. 53 ust. 8 rozporządzenia Komisji (UE) nr 651/2014.</w:t>
      </w:r>
    </w:p>
  </w:footnote>
  <w:footnote w:id="4">
    <w:p w14:paraId="1769FDE8" w14:textId="77777777" w:rsidR="00E05E85" w:rsidRDefault="00E05E85" w:rsidP="00E05E85">
      <w:pPr>
        <w:pStyle w:val="Stopka1"/>
        <w:jc w:val="both"/>
      </w:pPr>
      <w:r>
        <w:rPr>
          <w:rStyle w:val="Stopka0"/>
          <w:vertAlign w:val="superscript"/>
        </w:rPr>
        <w:footnoteRef/>
      </w:r>
      <w:r>
        <w:rPr>
          <w:rStyle w:val="Stopka0"/>
        </w:rPr>
        <w:t xml:space="preserve"> Nie należy mylić z kosztami </w:t>
      </w:r>
      <w:r>
        <w:rPr>
          <w:rStyle w:val="Stopka0"/>
          <w:b/>
          <w:bCs/>
        </w:rPr>
        <w:t>kwalifikowanymi</w:t>
      </w:r>
      <w:r>
        <w:rPr>
          <w:rStyle w:val="Stopka0"/>
        </w:rPr>
        <w:t xml:space="preserve">, określonymi w Załączniku nr 1 do Regulaminu, dotyczącymi wyłącznie dofinansowania z środków NIMiT. W ramach niniejszego programu przez </w:t>
      </w:r>
      <w:r>
        <w:rPr>
          <w:rStyle w:val="Stopka0"/>
          <w:i/>
          <w:iCs/>
          <w:u w:val="single"/>
        </w:rPr>
        <w:t>koszty kwalifikowalne</w:t>
      </w:r>
      <w:r>
        <w:rPr>
          <w:rStyle w:val="Stopka0"/>
        </w:rPr>
        <w:t xml:space="preserve"> należy rozumieć wszystkie koszty realizacji zadania.</w:t>
      </w:r>
    </w:p>
  </w:footnote>
  <w:footnote w:id="5">
    <w:p w14:paraId="583E5C1C" w14:textId="77777777" w:rsidR="00E05E85" w:rsidRDefault="00E05E85" w:rsidP="00E05E85">
      <w:pPr>
        <w:pStyle w:val="Stopka1"/>
        <w:jc w:val="both"/>
      </w:pPr>
      <w:r>
        <w:rPr>
          <w:rStyle w:val="Stopka0"/>
          <w:vertAlign w:val="superscript"/>
        </w:rPr>
        <w:footnoteRef/>
      </w:r>
      <w:r>
        <w:rPr>
          <w:rStyle w:val="Stopka0"/>
        </w:rPr>
        <w:t xml:space="preserve"> Zgodnie z art. 7 ust. 3 rozporządzenia Komisji (UE) nr 651/2014.</w:t>
      </w:r>
    </w:p>
  </w:footnote>
  <w:footnote w:id="6">
    <w:p w14:paraId="6B608C2A" w14:textId="77777777" w:rsidR="00E05E85" w:rsidRDefault="00E05E85" w:rsidP="00E05E85">
      <w:pPr>
        <w:pStyle w:val="Stopka1"/>
      </w:pPr>
      <w:r>
        <w:rPr>
          <w:rStyle w:val="Stopka0"/>
          <w:vertAlign w:val="superscript"/>
        </w:rPr>
        <w:footnoteRef/>
      </w:r>
      <w:r>
        <w:rPr>
          <w:rStyle w:val="Stopka0"/>
        </w:rPr>
        <w:t xml:space="preserve"> Dyskontowanie można pominąć w przypadku gdy między przyznaniem pomocy a poniesieniem wydatków upływa poniżej 12 miesięcy.</w:t>
      </w:r>
    </w:p>
  </w:footnote>
  <w:footnote w:id="7">
    <w:p w14:paraId="71EE19F8" w14:textId="77777777" w:rsidR="00E05E85" w:rsidRDefault="00E05E85" w:rsidP="00E05E85">
      <w:pPr>
        <w:pStyle w:val="Stopka1"/>
      </w:pPr>
      <w:r>
        <w:rPr>
          <w:rStyle w:val="Stopka0"/>
          <w:vertAlign w:val="superscript"/>
        </w:rPr>
        <w:footnoteRef/>
      </w:r>
      <w:r>
        <w:rPr>
          <w:rStyle w:val="Stopka0"/>
        </w:rPr>
        <w:t xml:space="preserve"> Zgodnie z rozporządzeniem Komisji (UE) nr 1407/2013 z dnia 18 grudnia 2013 r. w sprawie stosowania art. 107 i 108</w:t>
      </w:r>
    </w:p>
    <w:p w14:paraId="566742E4" w14:textId="77777777" w:rsidR="00E05E85" w:rsidRDefault="00E05E85" w:rsidP="00E05E85">
      <w:pPr>
        <w:pStyle w:val="Stopka1"/>
      </w:pPr>
      <w:r>
        <w:rPr>
          <w:rStyle w:val="Stopka0"/>
        </w:rPr>
        <w:t>Traktatu o funkcjonowaniu Unii Europejskiej do pomocy de minimis (Dz. Urz. UE L 352 z 24.12.2013).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33911" w14:textId="16D35BA5" w:rsidR="00056094" w:rsidRDefault="009C2153" w:rsidP="00C5712F">
    <w:pPr>
      <w:pStyle w:val="Numer-projektu"/>
    </w:pPr>
    <w:r>
      <w:rPr>
        <w:rFonts w:ascii="Georgia" w:hAnsi="Georgia"/>
        <w:noProof/>
        <w:sz w:val="20"/>
        <w:szCs w:val="20"/>
      </w:rPr>
      <w:drawing>
        <wp:anchor distT="0" distB="0" distL="114300" distR="114300" simplePos="0" relativeHeight="251676672" behindDoc="0" locked="0" layoutInCell="1" allowOverlap="1" wp14:anchorId="637A468C" wp14:editId="41306B53">
          <wp:simplePos x="0" y="0"/>
          <wp:positionH relativeFrom="column">
            <wp:posOffset>-903605</wp:posOffset>
          </wp:positionH>
          <wp:positionV relativeFrom="paragraph">
            <wp:posOffset>-899160</wp:posOffset>
          </wp:positionV>
          <wp:extent cx="1948815" cy="107950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881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4794EF8"/>
    <w:multiLevelType w:val="multilevel"/>
    <w:tmpl w:val="ECF06C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0816522C"/>
    <w:multiLevelType w:val="multilevel"/>
    <w:tmpl w:val="E5522F14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52A08"/>
    <w:multiLevelType w:val="multilevel"/>
    <w:tmpl w:val="EDC89758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25B42FC"/>
    <w:multiLevelType w:val="multilevel"/>
    <w:tmpl w:val="488C96E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Andale Sans UI" w:cs="Calibri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52901583"/>
    <w:multiLevelType w:val="hybridMultilevel"/>
    <w:tmpl w:val="24E4CC00"/>
    <w:lvl w:ilvl="0" w:tplc="A07C4B8E">
      <w:start w:val="1"/>
      <w:numFmt w:val="decimal"/>
      <w:pStyle w:val="Akapitpunktgowny"/>
      <w:lvlText w:val="%1."/>
      <w:lvlJc w:val="left"/>
      <w:pPr>
        <w:ind w:left="397" w:hanging="39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41C6B"/>
    <w:multiLevelType w:val="multilevel"/>
    <w:tmpl w:val="8A72DF30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58975A27"/>
    <w:multiLevelType w:val="hybridMultilevel"/>
    <w:tmpl w:val="A73C4ED0"/>
    <w:lvl w:ilvl="0" w:tplc="6F8E3A4A">
      <w:start w:val="1"/>
      <w:numFmt w:val="lowerLetter"/>
      <w:pStyle w:val="Akapit-pod-podpunkt"/>
      <w:lvlText w:val="%1)"/>
      <w:lvlJc w:val="left"/>
      <w:pPr>
        <w:tabs>
          <w:tab w:val="num" w:pos="2582"/>
        </w:tabs>
        <w:ind w:left="2304" w:hanging="180"/>
      </w:pPr>
      <w:rPr>
        <w:rFonts w:asciiTheme="minorHAnsi" w:hAnsi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5F2844AD"/>
    <w:multiLevelType w:val="multilevel"/>
    <w:tmpl w:val="FA3EDB18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5F6C74DC"/>
    <w:multiLevelType w:val="multilevel"/>
    <w:tmpl w:val="2EB09D7C"/>
    <w:styleLink w:val="Biecalista1"/>
    <w:lvl w:ilvl="0">
      <w:start w:val="1"/>
      <w:numFmt w:val="decimal"/>
      <w:lvlText w:val="%1)"/>
      <w:lvlJc w:val="left"/>
      <w:pPr>
        <w:tabs>
          <w:tab w:val="num" w:pos="1419"/>
        </w:tabs>
        <w:ind w:left="1135" w:hanging="426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5FCF5D16"/>
    <w:multiLevelType w:val="hybridMultilevel"/>
    <w:tmpl w:val="A05EDBE0"/>
    <w:lvl w:ilvl="0" w:tplc="DB0E20F6">
      <w:start w:val="1"/>
      <w:numFmt w:val="bullet"/>
      <w:pStyle w:val="podpunktKROPKA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51E7E82"/>
    <w:multiLevelType w:val="multilevel"/>
    <w:tmpl w:val="EFCAA496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79190214"/>
    <w:multiLevelType w:val="hybridMultilevel"/>
    <w:tmpl w:val="220A65F2"/>
    <w:lvl w:ilvl="0" w:tplc="F432BAC8">
      <w:start w:val="1"/>
      <w:numFmt w:val="lowerLetter"/>
      <w:pStyle w:val="Akapitpodpunkt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7B995FCF"/>
    <w:multiLevelType w:val="hybridMultilevel"/>
    <w:tmpl w:val="CBD2C3D6"/>
    <w:styleLink w:val="Zaimportowanystyl9"/>
    <w:lvl w:ilvl="0" w:tplc="7004BAE6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DA21BE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30400E">
      <w:start w:val="1"/>
      <w:numFmt w:val="lowerRoman"/>
      <w:lvlText w:val="%3."/>
      <w:lvlJc w:val="left"/>
      <w:pPr>
        <w:tabs>
          <w:tab w:val="num" w:pos="2127"/>
        </w:tabs>
        <w:ind w:left="2138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7C0548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44154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7AF28A">
      <w:start w:val="1"/>
      <w:numFmt w:val="lowerRoman"/>
      <w:lvlText w:val="%6."/>
      <w:lvlJc w:val="left"/>
      <w:pPr>
        <w:tabs>
          <w:tab w:val="num" w:pos="4254"/>
        </w:tabs>
        <w:ind w:left="4265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BE0DBA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7EE25C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C6DF8C">
      <w:start w:val="1"/>
      <w:numFmt w:val="lowerRoman"/>
      <w:suff w:val="nothing"/>
      <w:lvlText w:val="%9."/>
      <w:lvlJc w:val="left"/>
      <w:pPr>
        <w:ind w:left="6392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51716676">
    <w:abstractNumId w:val="12"/>
  </w:num>
  <w:num w:numId="2" w16cid:durableId="1122000520">
    <w:abstractNumId w:val="7"/>
  </w:num>
  <w:num w:numId="3" w16cid:durableId="1700088678">
    <w:abstractNumId w:val="8"/>
  </w:num>
  <w:num w:numId="4" w16cid:durableId="908461142">
    <w:abstractNumId w:val="13"/>
  </w:num>
  <w:num w:numId="5" w16cid:durableId="2011366214">
    <w:abstractNumId w:val="10"/>
  </w:num>
  <w:num w:numId="6" w16cid:durableId="609631595">
    <w:abstractNumId w:val="1"/>
  </w:num>
  <w:num w:numId="7" w16cid:durableId="1587422436">
    <w:abstractNumId w:val="3"/>
  </w:num>
  <w:num w:numId="8" w16cid:durableId="683748549">
    <w:abstractNumId w:val="4"/>
  </w:num>
  <w:num w:numId="9" w16cid:durableId="114369607">
    <w:abstractNumId w:val="6"/>
  </w:num>
  <w:num w:numId="10" w16cid:durableId="1764958598">
    <w:abstractNumId w:val="11"/>
  </w:num>
  <w:num w:numId="11" w16cid:durableId="1327782928">
    <w:abstractNumId w:val="9"/>
  </w:num>
  <w:num w:numId="12" w16cid:durableId="1310942566">
    <w:abstractNumId w:val="12"/>
    <w:lvlOverride w:ilvl="0">
      <w:startOverride w:val="1"/>
    </w:lvlOverride>
  </w:num>
  <w:num w:numId="13" w16cid:durableId="1255094287">
    <w:abstractNumId w:val="12"/>
    <w:lvlOverride w:ilvl="0">
      <w:startOverride w:val="1"/>
    </w:lvlOverride>
  </w:num>
  <w:num w:numId="14" w16cid:durableId="1706327203">
    <w:abstractNumId w:val="12"/>
    <w:lvlOverride w:ilvl="0">
      <w:startOverride w:val="1"/>
    </w:lvlOverride>
  </w:num>
  <w:num w:numId="15" w16cid:durableId="1762025716">
    <w:abstractNumId w:val="5"/>
  </w:num>
  <w:num w:numId="16" w16cid:durableId="1239749185">
    <w:abstractNumId w:val="2"/>
  </w:num>
  <w:num w:numId="17" w16cid:durableId="1354846772">
    <w:abstractNumId w:val="5"/>
    <w:lvlOverride w:ilvl="0">
      <w:startOverride w:val="1"/>
    </w:lvlOverride>
  </w:num>
  <w:num w:numId="18" w16cid:durableId="179663428">
    <w:abstractNumId w:val="5"/>
    <w:lvlOverride w:ilvl="0">
      <w:startOverride w:val="1"/>
    </w:lvlOverride>
  </w:num>
  <w:num w:numId="19" w16cid:durableId="433747456">
    <w:abstractNumId w:val="5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D3"/>
    <w:rsid w:val="0000103A"/>
    <w:rsid w:val="000079BC"/>
    <w:rsid w:val="00010201"/>
    <w:rsid w:val="00013200"/>
    <w:rsid w:val="00022CCC"/>
    <w:rsid w:val="00027B5C"/>
    <w:rsid w:val="00050940"/>
    <w:rsid w:val="00056094"/>
    <w:rsid w:val="00060DDF"/>
    <w:rsid w:val="00067812"/>
    <w:rsid w:val="00076B9D"/>
    <w:rsid w:val="00087397"/>
    <w:rsid w:val="000A136D"/>
    <w:rsid w:val="000A3246"/>
    <w:rsid w:val="000B4D49"/>
    <w:rsid w:val="000C3015"/>
    <w:rsid w:val="000D0C30"/>
    <w:rsid w:val="000F249B"/>
    <w:rsid w:val="000F2878"/>
    <w:rsid w:val="001028AA"/>
    <w:rsid w:val="001058E5"/>
    <w:rsid w:val="00105DCA"/>
    <w:rsid w:val="0011375B"/>
    <w:rsid w:val="00115FD9"/>
    <w:rsid w:val="00127D4C"/>
    <w:rsid w:val="00130787"/>
    <w:rsid w:val="001309C0"/>
    <w:rsid w:val="0013137F"/>
    <w:rsid w:val="00137597"/>
    <w:rsid w:val="00156A81"/>
    <w:rsid w:val="001608F6"/>
    <w:rsid w:val="00167995"/>
    <w:rsid w:val="0017090D"/>
    <w:rsid w:val="00182AA5"/>
    <w:rsid w:val="001839A3"/>
    <w:rsid w:val="00186876"/>
    <w:rsid w:val="001941C5"/>
    <w:rsid w:val="001A1960"/>
    <w:rsid w:val="001A669C"/>
    <w:rsid w:val="001B598B"/>
    <w:rsid w:val="001B7221"/>
    <w:rsid w:val="001B7B90"/>
    <w:rsid w:val="001C205C"/>
    <w:rsid w:val="001C31AB"/>
    <w:rsid w:val="001C4802"/>
    <w:rsid w:val="001D05E6"/>
    <w:rsid w:val="001D0E18"/>
    <w:rsid w:val="001D1F41"/>
    <w:rsid w:val="001D31EA"/>
    <w:rsid w:val="001D5235"/>
    <w:rsid w:val="001E2685"/>
    <w:rsid w:val="001E3125"/>
    <w:rsid w:val="001E3D8F"/>
    <w:rsid w:val="001E47EF"/>
    <w:rsid w:val="001E7C0C"/>
    <w:rsid w:val="001F3DED"/>
    <w:rsid w:val="001F3EBB"/>
    <w:rsid w:val="00204C84"/>
    <w:rsid w:val="00206734"/>
    <w:rsid w:val="0021037F"/>
    <w:rsid w:val="002104F6"/>
    <w:rsid w:val="00214BE0"/>
    <w:rsid w:val="00220DAD"/>
    <w:rsid w:val="00223CF5"/>
    <w:rsid w:val="00232393"/>
    <w:rsid w:val="00234835"/>
    <w:rsid w:val="00243CBC"/>
    <w:rsid w:val="0024434F"/>
    <w:rsid w:val="00247EFD"/>
    <w:rsid w:val="0025042B"/>
    <w:rsid w:val="00252E11"/>
    <w:rsid w:val="00253AAF"/>
    <w:rsid w:val="00260003"/>
    <w:rsid w:val="00265F62"/>
    <w:rsid w:val="0027430A"/>
    <w:rsid w:val="00274637"/>
    <w:rsid w:val="00284055"/>
    <w:rsid w:val="002870FC"/>
    <w:rsid w:val="0029798A"/>
    <w:rsid w:val="002A42DE"/>
    <w:rsid w:val="002A4F6D"/>
    <w:rsid w:val="002B2F0C"/>
    <w:rsid w:val="002C0669"/>
    <w:rsid w:val="002E6190"/>
    <w:rsid w:val="00300544"/>
    <w:rsid w:val="0030213D"/>
    <w:rsid w:val="00305FF8"/>
    <w:rsid w:val="0030627C"/>
    <w:rsid w:val="003078C0"/>
    <w:rsid w:val="00310F97"/>
    <w:rsid w:val="0031660D"/>
    <w:rsid w:val="003167F0"/>
    <w:rsid w:val="00323462"/>
    <w:rsid w:val="00330690"/>
    <w:rsid w:val="00331010"/>
    <w:rsid w:val="00337205"/>
    <w:rsid w:val="00345AFF"/>
    <w:rsid w:val="00345E58"/>
    <w:rsid w:val="00360F6A"/>
    <w:rsid w:val="0036691A"/>
    <w:rsid w:val="0037629E"/>
    <w:rsid w:val="00377ADD"/>
    <w:rsid w:val="00384147"/>
    <w:rsid w:val="003923AB"/>
    <w:rsid w:val="00393181"/>
    <w:rsid w:val="0039350C"/>
    <w:rsid w:val="00394345"/>
    <w:rsid w:val="00395D4B"/>
    <w:rsid w:val="003A43DD"/>
    <w:rsid w:val="003B7BA0"/>
    <w:rsid w:val="003C6DDD"/>
    <w:rsid w:val="003E6504"/>
    <w:rsid w:val="003E6CB7"/>
    <w:rsid w:val="003F0FFB"/>
    <w:rsid w:val="003F1BDB"/>
    <w:rsid w:val="003F6E70"/>
    <w:rsid w:val="00400F57"/>
    <w:rsid w:val="00411557"/>
    <w:rsid w:val="00422589"/>
    <w:rsid w:val="00424841"/>
    <w:rsid w:val="00436D5D"/>
    <w:rsid w:val="00463B64"/>
    <w:rsid w:val="00465AD0"/>
    <w:rsid w:val="00466767"/>
    <w:rsid w:val="00467987"/>
    <w:rsid w:val="004775F1"/>
    <w:rsid w:val="00481112"/>
    <w:rsid w:val="00481AE0"/>
    <w:rsid w:val="00485BC3"/>
    <w:rsid w:val="004A3024"/>
    <w:rsid w:val="004A3812"/>
    <w:rsid w:val="004A4A51"/>
    <w:rsid w:val="004B14BE"/>
    <w:rsid w:val="004B7BEF"/>
    <w:rsid w:val="004C315E"/>
    <w:rsid w:val="004D2FA8"/>
    <w:rsid w:val="004E1EA8"/>
    <w:rsid w:val="004E76D3"/>
    <w:rsid w:val="00501A05"/>
    <w:rsid w:val="0051073B"/>
    <w:rsid w:val="00513770"/>
    <w:rsid w:val="005235ED"/>
    <w:rsid w:val="00525E7D"/>
    <w:rsid w:val="00532DB8"/>
    <w:rsid w:val="0053390B"/>
    <w:rsid w:val="00535503"/>
    <w:rsid w:val="00542D72"/>
    <w:rsid w:val="0054378B"/>
    <w:rsid w:val="005463A8"/>
    <w:rsid w:val="00560156"/>
    <w:rsid w:val="00565BCA"/>
    <w:rsid w:val="00580732"/>
    <w:rsid w:val="00580BC3"/>
    <w:rsid w:val="00584A95"/>
    <w:rsid w:val="00585986"/>
    <w:rsid w:val="005874B7"/>
    <w:rsid w:val="005A00C3"/>
    <w:rsid w:val="005A6716"/>
    <w:rsid w:val="005A72AA"/>
    <w:rsid w:val="005D4233"/>
    <w:rsid w:val="005E200F"/>
    <w:rsid w:val="005E43EF"/>
    <w:rsid w:val="005E517F"/>
    <w:rsid w:val="005E776E"/>
    <w:rsid w:val="005E7A85"/>
    <w:rsid w:val="005F0020"/>
    <w:rsid w:val="005F2006"/>
    <w:rsid w:val="005F413C"/>
    <w:rsid w:val="005F479F"/>
    <w:rsid w:val="005F55EF"/>
    <w:rsid w:val="005F7E5F"/>
    <w:rsid w:val="006062E3"/>
    <w:rsid w:val="006067A1"/>
    <w:rsid w:val="00612CAE"/>
    <w:rsid w:val="00616BC6"/>
    <w:rsid w:val="00626446"/>
    <w:rsid w:val="00630625"/>
    <w:rsid w:val="00637369"/>
    <w:rsid w:val="00641711"/>
    <w:rsid w:val="0065060D"/>
    <w:rsid w:val="006605C6"/>
    <w:rsid w:val="0067221C"/>
    <w:rsid w:val="00674F22"/>
    <w:rsid w:val="006766CE"/>
    <w:rsid w:val="006A667A"/>
    <w:rsid w:val="006B209D"/>
    <w:rsid w:val="006B45AA"/>
    <w:rsid w:val="006B521F"/>
    <w:rsid w:val="006C6488"/>
    <w:rsid w:val="006D65D2"/>
    <w:rsid w:val="006E0C7E"/>
    <w:rsid w:val="006E2FCE"/>
    <w:rsid w:val="006E516C"/>
    <w:rsid w:val="006E77B9"/>
    <w:rsid w:val="006F1B3A"/>
    <w:rsid w:val="006F34D6"/>
    <w:rsid w:val="00705417"/>
    <w:rsid w:val="007078AD"/>
    <w:rsid w:val="00711DB1"/>
    <w:rsid w:val="00716EE3"/>
    <w:rsid w:val="00717B9C"/>
    <w:rsid w:val="00725D72"/>
    <w:rsid w:val="00725DDB"/>
    <w:rsid w:val="00726DE0"/>
    <w:rsid w:val="0073283A"/>
    <w:rsid w:val="00733D2E"/>
    <w:rsid w:val="00737708"/>
    <w:rsid w:val="007519FE"/>
    <w:rsid w:val="00751D9D"/>
    <w:rsid w:val="007564C7"/>
    <w:rsid w:val="00761617"/>
    <w:rsid w:val="0076603E"/>
    <w:rsid w:val="00782BDB"/>
    <w:rsid w:val="0078402A"/>
    <w:rsid w:val="00785716"/>
    <w:rsid w:val="007879AB"/>
    <w:rsid w:val="00794894"/>
    <w:rsid w:val="007958B1"/>
    <w:rsid w:val="007A0199"/>
    <w:rsid w:val="007A068E"/>
    <w:rsid w:val="007A1239"/>
    <w:rsid w:val="007A140D"/>
    <w:rsid w:val="007B189D"/>
    <w:rsid w:val="007B425B"/>
    <w:rsid w:val="007B4C0C"/>
    <w:rsid w:val="007C1365"/>
    <w:rsid w:val="007D630E"/>
    <w:rsid w:val="007D78EE"/>
    <w:rsid w:val="007E0A40"/>
    <w:rsid w:val="007E5A0E"/>
    <w:rsid w:val="007E7809"/>
    <w:rsid w:val="007E79AE"/>
    <w:rsid w:val="007F5D4F"/>
    <w:rsid w:val="007F7197"/>
    <w:rsid w:val="008001DE"/>
    <w:rsid w:val="00804432"/>
    <w:rsid w:val="0084287E"/>
    <w:rsid w:val="008437D9"/>
    <w:rsid w:val="00847301"/>
    <w:rsid w:val="008545E7"/>
    <w:rsid w:val="00855409"/>
    <w:rsid w:val="00861012"/>
    <w:rsid w:val="0086372A"/>
    <w:rsid w:val="00864E3D"/>
    <w:rsid w:val="0086588B"/>
    <w:rsid w:val="00870910"/>
    <w:rsid w:val="008720C7"/>
    <w:rsid w:val="00872D46"/>
    <w:rsid w:val="008739FA"/>
    <w:rsid w:val="00880983"/>
    <w:rsid w:val="00882245"/>
    <w:rsid w:val="0089259B"/>
    <w:rsid w:val="008933AF"/>
    <w:rsid w:val="008A261E"/>
    <w:rsid w:val="008A4CF3"/>
    <w:rsid w:val="008B0D7B"/>
    <w:rsid w:val="008B57AE"/>
    <w:rsid w:val="008B77A7"/>
    <w:rsid w:val="008C3654"/>
    <w:rsid w:val="008D2B17"/>
    <w:rsid w:val="008D2DFF"/>
    <w:rsid w:val="008D66D3"/>
    <w:rsid w:val="008E103D"/>
    <w:rsid w:val="009074CA"/>
    <w:rsid w:val="00914E22"/>
    <w:rsid w:val="009176DF"/>
    <w:rsid w:val="0092097E"/>
    <w:rsid w:val="00920D6A"/>
    <w:rsid w:val="009266C2"/>
    <w:rsid w:val="00926950"/>
    <w:rsid w:val="00940E62"/>
    <w:rsid w:val="00941606"/>
    <w:rsid w:val="00946AE3"/>
    <w:rsid w:val="009518FE"/>
    <w:rsid w:val="009534C5"/>
    <w:rsid w:val="00976BBF"/>
    <w:rsid w:val="009776B5"/>
    <w:rsid w:val="00980646"/>
    <w:rsid w:val="009932AE"/>
    <w:rsid w:val="009A1703"/>
    <w:rsid w:val="009A2060"/>
    <w:rsid w:val="009A5BAB"/>
    <w:rsid w:val="009B05D3"/>
    <w:rsid w:val="009B0C66"/>
    <w:rsid w:val="009B102E"/>
    <w:rsid w:val="009C2153"/>
    <w:rsid w:val="009D29DD"/>
    <w:rsid w:val="009E3CC9"/>
    <w:rsid w:val="009E3E71"/>
    <w:rsid w:val="009F4496"/>
    <w:rsid w:val="00A0657B"/>
    <w:rsid w:val="00A11E5D"/>
    <w:rsid w:val="00A12B26"/>
    <w:rsid w:val="00A27658"/>
    <w:rsid w:val="00A33D01"/>
    <w:rsid w:val="00A35D79"/>
    <w:rsid w:val="00A36B8A"/>
    <w:rsid w:val="00A50A0D"/>
    <w:rsid w:val="00A51C28"/>
    <w:rsid w:val="00A51E7A"/>
    <w:rsid w:val="00A52C6E"/>
    <w:rsid w:val="00A533CF"/>
    <w:rsid w:val="00A54F1F"/>
    <w:rsid w:val="00A56914"/>
    <w:rsid w:val="00A56FCD"/>
    <w:rsid w:val="00A57D44"/>
    <w:rsid w:val="00A64874"/>
    <w:rsid w:val="00A657A3"/>
    <w:rsid w:val="00A65C84"/>
    <w:rsid w:val="00A660B7"/>
    <w:rsid w:val="00A67F12"/>
    <w:rsid w:val="00A77EF6"/>
    <w:rsid w:val="00A83647"/>
    <w:rsid w:val="00A847DC"/>
    <w:rsid w:val="00AA2D5A"/>
    <w:rsid w:val="00AA3624"/>
    <w:rsid w:val="00AB434A"/>
    <w:rsid w:val="00AB4E62"/>
    <w:rsid w:val="00AB54A4"/>
    <w:rsid w:val="00AB5D09"/>
    <w:rsid w:val="00AC3ED7"/>
    <w:rsid w:val="00AC4CE1"/>
    <w:rsid w:val="00AD3522"/>
    <w:rsid w:val="00AE24F0"/>
    <w:rsid w:val="00AE329F"/>
    <w:rsid w:val="00AE53F3"/>
    <w:rsid w:val="00AF0296"/>
    <w:rsid w:val="00B03607"/>
    <w:rsid w:val="00B3552D"/>
    <w:rsid w:val="00B424FA"/>
    <w:rsid w:val="00B532F9"/>
    <w:rsid w:val="00B6048A"/>
    <w:rsid w:val="00B65755"/>
    <w:rsid w:val="00B77152"/>
    <w:rsid w:val="00B8022A"/>
    <w:rsid w:val="00B820A8"/>
    <w:rsid w:val="00B91495"/>
    <w:rsid w:val="00B94109"/>
    <w:rsid w:val="00B944F2"/>
    <w:rsid w:val="00BA2CE4"/>
    <w:rsid w:val="00BA4500"/>
    <w:rsid w:val="00BC7529"/>
    <w:rsid w:val="00BD0088"/>
    <w:rsid w:val="00BF1CDE"/>
    <w:rsid w:val="00BF4B74"/>
    <w:rsid w:val="00C04E45"/>
    <w:rsid w:val="00C134EE"/>
    <w:rsid w:val="00C14FBC"/>
    <w:rsid w:val="00C15758"/>
    <w:rsid w:val="00C179BE"/>
    <w:rsid w:val="00C2407B"/>
    <w:rsid w:val="00C274C7"/>
    <w:rsid w:val="00C27C04"/>
    <w:rsid w:val="00C300BE"/>
    <w:rsid w:val="00C329DE"/>
    <w:rsid w:val="00C36FB4"/>
    <w:rsid w:val="00C370C3"/>
    <w:rsid w:val="00C405AB"/>
    <w:rsid w:val="00C4266D"/>
    <w:rsid w:val="00C50A09"/>
    <w:rsid w:val="00C53352"/>
    <w:rsid w:val="00C5712F"/>
    <w:rsid w:val="00C631C2"/>
    <w:rsid w:val="00C71CF7"/>
    <w:rsid w:val="00C74C22"/>
    <w:rsid w:val="00C76673"/>
    <w:rsid w:val="00C76CBA"/>
    <w:rsid w:val="00C77172"/>
    <w:rsid w:val="00C80E7F"/>
    <w:rsid w:val="00C810FE"/>
    <w:rsid w:val="00C92CB0"/>
    <w:rsid w:val="00C93511"/>
    <w:rsid w:val="00CB1D45"/>
    <w:rsid w:val="00CB4CD6"/>
    <w:rsid w:val="00CC01D8"/>
    <w:rsid w:val="00CC7EE8"/>
    <w:rsid w:val="00CD0A8D"/>
    <w:rsid w:val="00CD0DCC"/>
    <w:rsid w:val="00CE0EB4"/>
    <w:rsid w:val="00CE217E"/>
    <w:rsid w:val="00CE2A92"/>
    <w:rsid w:val="00CE5D5B"/>
    <w:rsid w:val="00CF56E4"/>
    <w:rsid w:val="00D24229"/>
    <w:rsid w:val="00D25CA6"/>
    <w:rsid w:val="00D25CF9"/>
    <w:rsid w:val="00D302BD"/>
    <w:rsid w:val="00D4005A"/>
    <w:rsid w:val="00D4222B"/>
    <w:rsid w:val="00D47ADA"/>
    <w:rsid w:val="00D52B4F"/>
    <w:rsid w:val="00D5412D"/>
    <w:rsid w:val="00D54868"/>
    <w:rsid w:val="00D5567E"/>
    <w:rsid w:val="00D62C0A"/>
    <w:rsid w:val="00D643AC"/>
    <w:rsid w:val="00D74BBE"/>
    <w:rsid w:val="00D77A92"/>
    <w:rsid w:val="00D83095"/>
    <w:rsid w:val="00D842A3"/>
    <w:rsid w:val="00D8509C"/>
    <w:rsid w:val="00D85D34"/>
    <w:rsid w:val="00D90C43"/>
    <w:rsid w:val="00D927A8"/>
    <w:rsid w:val="00D94006"/>
    <w:rsid w:val="00DA0B91"/>
    <w:rsid w:val="00DB0CA0"/>
    <w:rsid w:val="00DB470B"/>
    <w:rsid w:val="00DB50E7"/>
    <w:rsid w:val="00DC24C2"/>
    <w:rsid w:val="00DD56A4"/>
    <w:rsid w:val="00DE2A7E"/>
    <w:rsid w:val="00DF33A9"/>
    <w:rsid w:val="00DF3F46"/>
    <w:rsid w:val="00DF41C3"/>
    <w:rsid w:val="00E013B6"/>
    <w:rsid w:val="00E01A61"/>
    <w:rsid w:val="00E05E85"/>
    <w:rsid w:val="00E07E74"/>
    <w:rsid w:val="00E11E13"/>
    <w:rsid w:val="00E15693"/>
    <w:rsid w:val="00E16063"/>
    <w:rsid w:val="00E223C5"/>
    <w:rsid w:val="00E348C3"/>
    <w:rsid w:val="00E4608A"/>
    <w:rsid w:val="00E573BF"/>
    <w:rsid w:val="00E6027B"/>
    <w:rsid w:val="00E716D1"/>
    <w:rsid w:val="00E8366F"/>
    <w:rsid w:val="00E92D48"/>
    <w:rsid w:val="00E941F8"/>
    <w:rsid w:val="00E950B6"/>
    <w:rsid w:val="00E97989"/>
    <w:rsid w:val="00EA4C78"/>
    <w:rsid w:val="00EA7072"/>
    <w:rsid w:val="00EB42D2"/>
    <w:rsid w:val="00EC0459"/>
    <w:rsid w:val="00EC2098"/>
    <w:rsid w:val="00ED65AC"/>
    <w:rsid w:val="00EE1987"/>
    <w:rsid w:val="00EE1BD2"/>
    <w:rsid w:val="00EE2C2C"/>
    <w:rsid w:val="00EE3146"/>
    <w:rsid w:val="00EE7EB2"/>
    <w:rsid w:val="00F018D3"/>
    <w:rsid w:val="00F055C7"/>
    <w:rsid w:val="00F07267"/>
    <w:rsid w:val="00F076AE"/>
    <w:rsid w:val="00F14462"/>
    <w:rsid w:val="00F15C66"/>
    <w:rsid w:val="00F20015"/>
    <w:rsid w:val="00F209AD"/>
    <w:rsid w:val="00F21D1B"/>
    <w:rsid w:val="00F2594F"/>
    <w:rsid w:val="00F264B4"/>
    <w:rsid w:val="00F27698"/>
    <w:rsid w:val="00F30350"/>
    <w:rsid w:val="00F51572"/>
    <w:rsid w:val="00F54684"/>
    <w:rsid w:val="00F54B39"/>
    <w:rsid w:val="00F7641D"/>
    <w:rsid w:val="00F80098"/>
    <w:rsid w:val="00F8167C"/>
    <w:rsid w:val="00F93188"/>
    <w:rsid w:val="00F975EB"/>
    <w:rsid w:val="00FA0135"/>
    <w:rsid w:val="00FA791E"/>
    <w:rsid w:val="00FA7C38"/>
    <w:rsid w:val="00FB4A78"/>
    <w:rsid w:val="00FB7BF1"/>
    <w:rsid w:val="00FD0AB9"/>
    <w:rsid w:val="00FF21CC"/>
    <w:rsid w:val="14CE3AAF"/>
    <w:rsid w:val="166B999A"/>
    <w:rsid w:val="4A4B5CB7"/>
    <w:rsid w:val="5CBA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1914374"/>
  <w15:docId w15:val="{E9C644A8-9666-4EA5-96CF-292A0F8C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E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locked/>
    <w:rsid w:val="00022CCC"/>
    <w:pPr>
      <w:widowControl w:val="0"/>
      <w:suppressAutoHyphens/>
      <w:autoSpaceDE w:val="0"/>
      <w:autoSpaceDN w:val="0"/>
      <w:spacing w:before="43"/>
      <w:ind w:left="119"/>
      <w:outlineLvl w:val="0"/>
    </w:pPr>
    <w:rPr>
      <w:rFonts w:ascii="Arial" w:eastAsia="Arial" w:hAnsi="Arial" w:cs="Arial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F018D3"/>
    <w:pPr>
      <w:ind w:left="72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9351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018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3511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018D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F018D3"/>
    <w:pPr>
      <w:spacing w:line="360" w:lineRule="auto"/>
      <w:jc w:val="both"/>
    </w:pPr>
    <w:rPr>
      <w:rFonts w:ascii="Arial" w:hAnsi="Arial"/>
      <w:color w:val="FF0000"/>
      <w:sz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511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01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3511"/>
    <w:rPr>
      <w:rFonts w:cs="Times New Roman"/>
      <w:sz w:val="2"/>
    </w:rPr>
  </w:style>
  <w:style w:type="paragraph" w:styleId="Akapitzlist">
    <w:name w:val="List Paragraph"/>
    <w:basedOn w:val="Normalny"/>
    <w:uiPriority w:val="34"/>
    <w:qFormat/>
    <w:rsid w:val="001028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976B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6B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76BB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76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76BBF"/>
    <w:rPr>
      <w:rFonts w:cs="Times New Roman"/>
      <w:b/>
      <w:bCs/>
    </w:rPr>
  </w:style>
  <w:style w:type="paragraph" w:styleId="Zwykytekst">
    <w:name w:val="Plain Text"/>
    <w:basedOn w:val="Normalny"/>
    <w:link w:val="ZwykytekstZnak"/>
    <w:uiPriority w:val="99"/>
    <w:rsid w:val="000F249B"/>
    <w:rPr>
      <w:rFonts w:ascii="Tahoma" w:hAnsi="Tahoma"/>
      <w:color w:val="244061"/>
      <w:sz w:val="2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F249B"/>
    <w:rPr>
      <w:rFonts w:ascii="Tahoma" w:hAnsi="Tahoma"/>
      <w:color w:val="244061"/>
      <w:sz w:val="20"/>
      <w:szCs w:val="21"/>
      <w:lang w:eastAsia="en-US"/>
    </w:rPr>
  </w:style>
  <w:style w:type="paragraph" w:styleId="Nagwek">
    <w:name w:val="header"/>
    <w:basedOn w:val="Normalny"/>
    <w:link w:val="NagwekZnak"/>
    <w:unhideWhenUsed/>
    <w:rsid w:val="00D64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643A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434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43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B434A"/>
    <w:rPr>
      <w:vertAlign w:val="superscript"/>
    </w:rPr>
  </w:style>
  <w:style w:type="paragraph" w:customStyle="1" w:styleId="TYTU">
    <w:name w:val="TYTUŁ"/>
    <w:autoRedefine/>
    <w:qFormat/>
    <w:rsid w:val="00612CAE"/>
    <w:pPr>
      <w:spacing w:before="240" w:line="276" w:lineRule="auto"/>
      <w:ind w:right="-471"/>
      <w:outlineLvl w:val="0"/>
    </w:pPr>
    <w:rPr>
      <w:rFonts w:asciiTheme="minorHAnsi" w:hAnsiTheme="minorHAnsi" w:cstheme="minorHAnsi"/>
      <w:b/>
      <w:spacing w:val="26"/>
    </w:rPr>
  </w:style>
  <w:style w:type="paragraph" w:customStyle="1" w:styleId="PARAGRAF">
    <w:name w:val="PARAGRAF"/>
    <w:basedOn w:val="TYTU"/>
    <w:autoRedefine/>
    <w:qFormat/>
    <w:rsid w:val="007A140D"/>
    <w:pPr>
      <w:tabs>
        <w:tab w:val="center" w:pos="4535"/>
        <w:tab w:val="left" w:pos="5333"/>
      </w:tabs>
      <w:suppressAutoHyphens/>
      <w:spacing w:before="360" w:after="120" w:line="360" w:lineRule="auto"/>
      <w:ind w:right="0"/>
    </w:pPr>
    <w:rPr>
      <w:bCs/>
      <w:caps/>
      <w:spacing w:val="14"/>
    </w:rPr>
  </w:style>
  <w:style w:type="paragraph" w:customStyle="1" w:styleId="Numer-projektu">
    <w:name w:val="Numer-projektu"/>
    <w:autoRedefine/>
    <w:qFormat/>
    <w:rsid w:val="00220DAD"/>
    <w:pPr>
      <w:jc w:val="right"/>
    </w:pPr>
    <w:rPr>
      <w:rFonts w:ascii="Calibri" w:hAnsi="Calibri" w:cs="Calibri"/>
      <w:b/>
      <w:smallCaps/>
      <w:spacing w:val="8"/>
      <w:szCs w:val="24"/>
      <w14:numForm w14:val="lining"/>
    </w:rPr>
  </w:style>
  <w:style w:type="paragraph" w:customStyle="1" w:styleId="Akapitpunktgowny">
    <w:name w:val="Akapit_punkt_głowny"/>
    <w:basedOn w:val="Normalny"/>
    <w:autoRedefine/>
    <w:qFormat/>
    <w:rsid w:val="00612CAE"/>
    <w:pPr>
      <w:numPr>
        <w:numId w:val="15"/>
      </w:numPr>
      <w:suppressAutoHyphens/>
      <w:spacing w:line="276" w:lineRule="auto"/>
    </w:pPr>
    <w:rPr>
      <w:rFonts w:asciiTheme="minorHAnsi" w:hAnsiTheme="minorHAnsi"/>
      <w:sz w:val="22"/>
      <w:szCs w:val="22"/>
    </w:rPr>
  </w:style>
  <w:style w:type="paragraph" w:customStyle="1" w:styleId="AKAPIT-beznumeracji">
    <w:name w:val="AKAPIT-bez numeracji"/>
    <w:basedOn w:val="Normalny"/>
    <w:autoRedefine/>
    <w:qFormat/>
    <w:rsid w:val="005235ED"/>
    <w:pPr>
      <w:spacing w:line="336" w:lineRule="auto"/>
      <w:jc w:val="both"/>
    </w:pPr>
    <w:rPr>
      <w:rFonts w:asciiTheme="minorHAnsi" w:hAnsiTheme="minorHAnsi"/>
      <w:bCs/>
      <w:sz w:val="22"/>
      <w:szCs w:val="22"/>
    </w:rPr>
  </w:style>
  <w:style w:type="paragraph" w:customStyle="1" w:styleId="Akapitpodpunkt">
    <w:name w:val="Akapit_podpunkt"/>
    <w:basedOn w:val="Normalny"/>
    <w:qFormat/>
    <w:rsid w:val="00E05E85"/>
    <w:pPr>
      <w:numPr>
        <w:numId w:val="1"/>
      </w:numPr>
      <w:suppressAutoHyphens/>
      <w:spacing w:line="336" w:lineRule="auto"/>
      <w:jc w:val="both"/>
    </w:pPr>
    <w:rPr>
      <w:rFonts w:asciiTheme="minorHAnsi" w:hAnsiTheme="minorHAnsi"/>
      <w:sz w:val="22"/>
      <w:szCs w:val="22"/>
    </w:rPr>
  </w:style>
  <w:style w:type="paragraph" w:customStyle="1" w:styleId="Akapit-pod-podpunkt">
    <w:name w:val="Akapit-pod-podpunkt"/>
    <w:basedOn w:val="Normalny"/>
    <w:autoRedefine/>
    <w:qFormat/>
    <w:rsid w:val="008D66D3"/>
    <w:pPr>
      <w:numPr>
        <w:numId w:val="2"/>
      </w:numPr>
      <w:suppressAutoHyphens/>
      <w:spacing w:line="360" w:lineRule="auto"/>
      <w:jc w:val="both"/>
    </w:pPr>
    <w:rPr>
      <w:rFonts w:asciiTheme="minorHAnsi" w:hAnsiTheme="minorHAnsi"/>
      <w:sz w:val="22"/>
      <w:szCs w:val="22"/>
    </w:rPr>
  </w:style>
  <w:style w:type="paragraph" w:customStyle="1" w:styleId="Standard">
    <w:name w:val="Standard"/>
    <w:rsid w:val="0036691A"/>
    <w:pPr>
      <w:widowControl w:val="0"/>
      <w:suppressAutoHyphens/>
      <w:autoSpaceDN w:val="0"/>
      <w:textAlignment w:val="baseline"/>
    </w:pPr>
    <w:rPr>
      <w:rFonts w:eastAsia="Andale Sans UI"/>
      <w:kern w:val="3"/>
      <w:sz w:val="24"/>
      <w:szCs w:val="24"/>
    </w:rPr>
  </w:style>
  <w:style w:type="paragraph" w:customStyle="1" w:styleId="Textbody">
    <w:name w:val="Text body"/>
    <w:basedOn w:val="Standard"/>
    <w:rsid w:val="0036691A"/>
    <w:pPr>
      <w:spacing w:after="120"/>
    </w:pPr>
  </w:style>
  <w:style w:type="paragraph" w:customStyle="1" w:styleId="Akapitzlist1">
    <w:name w:val="Akapit z listą1"/>
    <w:basedOn w:val="Standard"/>
    <w:rsid w:val="0036691A"/>
    <w:pPr>
      <w:widowControl/>
      <w:spacing w:after="160" w:line="259" w:lineRule="auto"/>
      <w:ind w:left="720"/>
    </w:pPr>
    <w:rPr>
      <w:rFonts w:ascii="Calibri" w:eastAsia="SimSun" w:hAnsi="Calibri" w:cs="font212"/>
      <w:sz w:val="22"/>
      <w:szCs w:val="22"/>
      <w:lang w:eastAsia="ar-SA"/>
    </w:rPr>
  </w:style>
  <w:style w:type="numbering" w:customStyle="1" w:styleId="WWNum1">
    <w:name w:val="WWNum1"/>
    <w:basedOn w:val="Bezlisty"/>
    <w:rsid w:val="0036691A"/>
    <w:pPr>
      <w:numPr>
        <w:numId w:val="10"/>
      </w:numPr>
    </w:pPr>
  </w:style>
  <w:style w:type="numbering" w:customStyle="1" w:styleId="WWNum3">
    <w:name w:val="WWNum3"/>
    <w:basedOn w:val="Bezlisty"/>
    <w:rsid w:val="0036691A"/>
    <w:pPr>
      <w:numPr>
        <w:numId w:val="9"/>
      </w:numPr>
    </w:pPr>
  </w:style>
  <w:style w:type="numbering" w:customStyle="1" w:styleId="WWNum4">
    <w:name w:val="WWNum4"/>
    <w:basedOn w:val="Bezlisty"/>
    <w:rsid w:val="0036691A"/>
    <w:pPr>
      <w:numPr>
        <w:numId w:val="8"/>
      </w:numPr>
    </w:pPr>
  </w:style>
  <w:style w:type="numbering" w:customStyle="1" w:styleId="WWNum9">
    <w:name w:val="WWNum9"/>
    <w:basedOn w:val="Bezlisty"/>
    <w:rsid w:val="0036691A"/>
    <w:pPr>
      <w:numPr>
        <w:numId w:val="6"/>
      </w:numPr>
    </w:pPr>
  </w:style>
  <w:style w:type="numbering" w:customStyle="1" w:styleId="WWNum17">
    <w:name w:val="WWNum17"/>
    <w:basedOn w:val="Bezlisty"/>
    <w:rsid w:val="0036691A"/>
    <w:pPr>
      <w:numPr>
        <w:numId w:val="3"/>
      </w:numPr>
    </w:pPr>
  </w:style>
  <w:style w:type="numbering" w:customStyle="1" w:styleId="WWNum19">
    <w:name w:val="WWNum19"/>
    <w:basedOn w:val="Bezlisty"/>
    <w:rsid w:val="0036691A"/>
    <w:pPr>
      <w:numPr>
        <w:numId w:val="7"/>
      </w:numPr>
    </w:pPr>
  </w:style>
  <w:style w:type="numbering" w:customStyle="1" w:styleId="Zaimportowanystyl9">
    <w:name w:val="Zaimportowany styl 9"/>
    <w:rsid w:val="0036691A"/>
    <w:pPr>
      <w:numPr>
        <w:numId w:val="4"/>
      </w:numPr>
    </w:pPr>
  </w:style>
  <w:style w:type="paragraph" w:styleId="Tytu0">
    <w:name w:val="Title"/>
    <w:basedOn w:val="Normalny"/>
    <w:link w:val="TytuZnak"/>
    <w:qFormat/>
    <w:locked/>
    <w:rsid w:val="00855409"/>
    <w:pPr>
      <w:spacing w:line="312" w:lineRule="auto"/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0"/>
    <w:rsid w:val="00855409"/>
    <w:rPr>
      <w:rFonts w:ascii="Arial" w:hAnsi="Arial"/>
      <w:b/>
      <w:szCs w:val="24"/>
    </w:rPr>
  </w:style>
  <w:style w:type="character" w:customStyle="1" w:styleId="FontStyle15">
    <w:name w:val="Font Style15"/>
    <w:rsid w:val="00855409"/>
    <w:rPr>
      <w:rFonts w:ascii="Arial" w:hAnsi="Arial" w:cs="Arial"/>
      <w:b/>
      <w:bCs/>
      <w:sz w:val="20"/>
      <w:szCs w:val="20"/>
    </w:rPr>
  </w:style>
  <w:style w:type="character" w:styleId="Hipercze">
    <w:name w:val="Hyperlink"/>
    <w:rsid w:val="00855409"/>
    <w:rPr>
      <w:color w:val="0000FF"/>
      <w:u w:val="single"/>
    </w:rPr>
  </w:style>
  <w:style w:type="paragraph" w:styleId="NormalnyWeb">
    <w:name w:val="Normal (Web)"/>
    <w:basedOn w:val="Normalny"/>
    <w:rsid w:val="00855409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022CCC"/>
    <w:rPr>
      <w:rFonts w:ascii="Arial" w:eastAsia="Arial" w:hAnsi="Arial" w:cs="Arial"/>
      <w:b/>
      <w:bCs/>
      <w:sz w:val="20"/>
      <w:szCs w:val="20"/>
      <w:lang w:bidi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22CCC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22CCC"/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rsid w:val="00022CCC"/>
    <w:rPr>
      <w:lang w:eastAsia="ar-SA"/>
    </w:rPr>
  </w:style>
  <w:style w:type="character" w:styleId="Pogrubienie">
    <w:name w:val="Strong"/>
    <w:qFormat/>
    <w:locked/>
    <w:rsid w:val="00022CCC"/>
    <w:rPr>
      <w:b/>
      <w:bCs/>
    </w:rPr>
  </w:style>
  <w:style w:type="paragraph" w:customStyle="1" w:styleId="Default">
    <w:name w:val="Default"/>
    <w:rsid w:val="00022C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odpunktKROPKA">
    <w:name w:val="podpunkt – KROPKA"/>
    <w:basedOn w:val="Akapitpodpunkt"/>
    <w:autoRedefine/>
    <w:qFormat/>
    <w:rsid w:val="00AD3522"/>
    <w:pPr>
      <w:numPr>
        <w:numId w:val="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11375B"/>
    <w:rPr>
      <w:color w:val="605E5C"/>
      <w:shd w:val="clear" w:color="auto" w:fill="E1DFDD"/>
    </w:rPr>
  </w:style>
  <w:style w:type="character" w:customStyle="1" w:styleId="Stopka0">
    <w:name w:val="Stopka_"/>
    <w:basedOn w:val="Domylnaczcionkaakapitu"/>
    <w:link w:val="Stopka1"/>
    <w:rsid w:val="00637369"/>
    <w:rPr>
      <w:rFonts w:ascii="Calibri" w:eastAsia="Calibri" w:hAnsi="Calibri" w:cs="Calibr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637369"/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link w:val="Teksttreci20"/>
    <w:rsid w:val="00637369"/>
    <w:rPr>
      <w:rFonts w:ascii="Calibri" w:eastAsia="Calibri" w:hAnsi="Calibri" w:cs="Calibri"/>
      <w:sz w:val="18"/>
      <w:szCs w:val="18"/>
    </w:rPr>
  </w:style>
  <w:style w:type="paragraph" w:customStyle="1" w:styleId="Stopka1">
    <w:name w:val="Stopka1"/>
    <w:basedOn w:val="Normalny"/>
    <w:link w:val="Stopka0"/>
    <w:rsid w:val="00637369"/>
    <w:pPr>
      <w:widowControl w:val="0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rsid w:val="00637369"/>
    <w:pPr>
      <w:widowControl w:val="0"/>
      <w:spacing w:after="100"/>
    </w:pPr>
    <w:rPr>
      <w:rFonts w:ascii="Calibri" w:eastAsia="Calibri" w:hAnsi="Calibri" w:cs="Calibri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637369"/>
    <w:pPr>
      <w:widowControl w:val="0"/>
      <w:spacing w:after="230"/>
    </w:pPr>
    <w:rPr>
      <w:rFonts w:ascii="Calibri" w:eastAsia="Calibri" w:hAnsi="Calibri" w:cs="Calibri"/>
      <w:sz w:val="18"/>
      <w:szCs w:val="18"/>
    </w:rPr>
  </w:style>
  <w:style w:type="character" w:customStyle="1" w:styleId="Inne">
    <w:name w:val="Inne_"/>
    <w:basedOn w:val="Domylnaczcionkaakapitu"/>
    <w:link w:val="Inne0"/>
    <w:rsid w:val="00E05E85"/>
    <w:rPr>
      <w:rFonts w:ascii="Calibri" w:eastAsia="Calibri" w:hAnsi="Calibri" w:cs="Calibri"/>
    </w:rPr>
  </w:style>
  <w:style w:type="numbering" w:customStyle="1" w:styleId="Biecalista1">
    <w:name w:val="Bieżąca lista1"/>
    <w:uiPriority w:val="99"/>
    <w:rsid w:val="00E05E85"/>
    <w:pPr>
      <w:numPr>
        <w:numId w:val="11"/>
      </w:numPr>
    </w:pPr>
  </w:style>
  <w:style w:type="paragraph" w:customStyle="1" w:styleId="Inne0">
    <w:name w:val="Inne"/>
    <w:basedOn w:val="Normalny"/>
    <w:link w:val="Inne"/>
    <w:rsid w:val="00E05E85"/>
    <w:pPr>
      <w:widowControl w:val="0"/>
      <w:spacing w:after="100"/>
    </w:pPr>
    <w:rPr>
      <w:rFonts w:ascii="Calibri" w:eastAsia="Calibri" w:hAnsi="Calibri" w:cs="Calibri"/>
      <w:sz w:val="22"/>
      <w:szCs w:val="22"/>
    </w:rPr>
  </w:style>
  <w:style w:type="numbering" w:customStyle="1" w:styleId="Biecalista2">
    <w:name w:val="Bieżąca lista2"/>
    <w:uiPriority w:val="99"/>
    <w:rsid w:val="00751D9D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A9CDCF2E159541807417E9A19EAD57" ma:contentTypeVersion="13" ma:contentTypeDescription="Utwórz nowy dokument." ma:contentTypeScope="" ma:versionID="bbb6f3f1d9b0e8a5fc0a97aab826e4c4">
  <xsd:schema xmlns:xsd="http://www.w3.org/2001/XMLSchema" xmlns:xs="http://www.w3.org/2001/XMLSchema" xmlns:p="http://schemas.microsoft.com/office/2006/metadata/properties" xmlns:ns3="cd76b517-bb0e-4f78-a4df-f6b1c14b4c94" xmlns:ns4="75ccc21d-b085-4f77-8bb3-8f1008f15be8" targetNamespace="http://schemas.microsoft.com/office/2006/metadata/properties" ma:root="true" ma:fieldsID="be4ca173865eef865d6f8d59a01c9d95" ns3:_="" ns4:_="">
    <xsd:import namespace="cd76b517-bb0e-4f78-a4df-f6b1c14b4c94"/>
    <xsd:import namespace="75ccc21d-b085-4f77-8bb3-8f1008f15b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6b517-bb0e-4f78-a4df-f6b1c14b4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cc21d-b085-4f77-8bb3-8f1008f15be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46453-B3BD-4AE7-953F-C225469A6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6b517-bb0e-4f78-a4df-f6b1c14b4c94"/>
    <ds:schemaRef ds:uri="75ccc21d-b085-4f77-8bb3-8f1008f15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0C9C8B-A690-4865-BA5F-AE2C25A5D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3DE96-5409-48BB-9816-8EC19E3D13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B66CBA-E8D3-40F0-9544-F574D8E7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1448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KOPRODUKCYJNA</vt:lpstr>
    </vt:vector>
  </TitlesOfParts>
  <Company>TVP SA</Company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KOPRODUKCYJNA</dc:title>
  <dc:creator>User</dc:creator>
  <cp:lastModifiedBy>Anna Čemeljić | NIMiT</cp:lastModifiedBy>
  <cp:revision>2</cp:revision>
  <cp:lastPrinted>2021-05-31T06:05:00Z</cp:lastPrinted>
  <dcterms:created xsi:type="dcterms:W3CDTF">2023-05-24T14:14:00Z</dcterms:created>
  <dcterms:modified xsi:type="dcterms:W3CDTF">2023-05-24T14:14:00Z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0x010100DAA9CDCF2E159541807417E9A19EAD57</vt:lpwstr>
  </property>
</Properties>
</file>